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6480" w14:textId="4ACB1431" w:rsidR="00A87314" w:rsidRDefault="00D7410B" w:rsidP="00661A55">
      <w:pPr>
        <w:pStyle w:val="Normaalweb"/>
        <w:spacing w:before="0" w:beforeAutospacing="0" w:after="225" w:afterAutospacing="0"/>
        <w:jc w:val="center"/>
        <w:rPr>
          <w:rFonts w:ascii="Calibri" w:hAnsi="Calibri" w:cs="Calibri"/>
          <w:b/>
          <w:bCs/>
          <w:color w:val="000000"/>
          <w:sz w:val="28"/>
          <w:szCs w:val="28"/>
          <w:u w:val="single"/>
          <w:lang w:val="en-US"/>
        </w:rPr>
      </w:pPr>
      <w:r>
        <w:rPr>
          <w:rFonts w:ascii="Calibri" w:hAnsi="Calibri" w:cs="Calibri"/>
          <w:b/>
          <w:bCs/>
          <w:noProof/>
          <w:color w:val="000000"/>
          <w:sz w:val="28"/>
          <w:szCs w:val="28"/>
          <w:u w:val="single"/>
          <w:lang w:val="en-US"/>
        </w:rPr>
        <mc:AlternateContent>
          <mc:Choice Requires="wps">
            <w:drawing>
              <wp:anchor distT="0" distB="0" distL="114300" distR="114300" simplePos="0" relativeHeight="251659264" behindDoc="0" locked="0" layoutInCell="1" allowOverlap="1" wp14:anchorId="4131D1A8" wp14:editId="6BD28440">
                <wp:simplePos x="0" y="0"/>
                <wp:positionH relativeFrom="margin">
                  <wp:align>right</wp:align>
                </wp:positionH>
                <wp:positionV relativeFrom="paragraph">
                  <wp:posOffset>398145</wp:posOffset>
                </wp:positionV>
                <wp:extent cx="8473440" cy="3009900"/>
                <wp:effectExtent l="0" t="0" r="22860" b="19050"/>
                <wp:wrapNone/>
                <wp:docPr id="4" name="Rechthoek 4"/>
                <wp:cNvGraphicFramePr/>
                <a:graphic xmlns:a="http://schemas.openxmlformats.org/drawingml/2006/main">
                  <a:graphicData uri="http://schemas.microsoft.com/office/word/2010/wordprocessingShape">
                    <wps:wsp>
                      <wps:cNvSpPr/>
                      <wps:spPr>
                        <a:xfrm>
                          <a:off x="0" y="0"/>
                          <a:ext cx="8473440" cy="3009900"/>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55B7" id="Rechthoek 4" o:spid="_x0000_s1026" style="position:absolute;margin-left:616pt;margin-top:31.35pt;width:667.2pt;height:23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" filled="f" strokecolor="#7030a0" strokeweight="2pt">
                <w10:wrap anchorx="margin"/>
              </v:rect>
            </w:pict>
          </mc:Fallback>
        </mc:AlternateContent>
      </w:r>
      <w:r w:rsidR="008267D2" w:rsidRPr="009349A3">
        <w:rPr>
          <w:rFonts w:ascii="Calibri" w:hAnsi="Calibri" w:cs="Calibri"/>
          <w:b/>
          <w:bCs/>
          <w:color w:val="000000"/>
          <w:sz w:val="28"/>
          <w:szCs w:val="28"/>
          <w:u w:val="single"/>
          <w:lang w:val="en-US"/>
        </w:rPr>
        <w:t xml:space="preserve">CHECKLIST </w:t>
      </w:r>
      <w:r w:rsidR="00E459A5">
        <w:rPr>
          <w:rFonts w:ascii="Calibri" w:hAnsi="Calibri" w:cs="Calibri"/>
          <w:b/>
          <w:bCs/>
          <w:color w:val="000000"/>
          <w:sz w:val="28"/>
          <w:szCs w:val="28"/>
          <w:u w:val="single"/>
          <w:lang w:val="en-US"/>
        </w:rPr>
        <w:t xml:space="preserve">IT AND </w:t>
      </w:r>
      <w:r w:rsidR="008267D2" w:rsidRPr="009349A3">
        <w:rPr>
          <w:rFonts w:ascii="Calibri" w:hAnsi="Calibri" w:cs="Calibri"/>
          <w:b/>
          <w:bCs/>
          <w:color w:val="000000"/>
          <w:sz w:val="28"/>
          <w:szCs w:val="28"/>
          <w:u w:val="single"/>
          <w:lang w:val="en-US"/>
        </w:rPr>
        <w:t>OUTSOURCING CONTRACTS</w:t>
      </w:r>
    </w:p>
    <w:p w14:paraId="160ECF8A" w14:textId="2255A5EC" w:rsidR="00BE7435" w:rsidRDefault="00BE7435" w:rsidP="00056FE3">
      <w:pPr>
        <w:pStyle w:val="Normaalweb"/>
        <w:spacing w:before="0" w:beforeAutospacing="0" w:after="225" w:afterAutospacing="0"/>
        <w:rPr>
          <w:rFonts w:ascii="Calibri" w:hAnsi="Calibri" w:cs="Calibri"/>
          <w:color w:val="000000"/>
          <w:sz w:val="28"/>
          <w:szCs w:val="28"/>
          <w:lang w:val="en-US"/>
        </w:rPr>
      </w:pPr>
      <w:r w:rsidRPr="00295056">
        <w:rPr>
          <w:rFonts w:ascii="Calibri" w:hAnsi="Calibri" w:cs="Calibri"/>
          <w:color w:val="000000"/>
          <w:sz w:val="28"/>
          <w:szCs w:val="28"/>
          <w:lang w:val="en-US"/>
        </w:rPr>
        <w:t>T</w:t>
      </w:r>
      <w:r w:rsidR="009349A3" w:rsidRPr="00295056">
        <w:rPr>
          <w:rFonts w:ascii="Calibri" w:hAnsi="Calibri" w:cs="Calibri"/>
          <w:color w:val="000000"/>
          <w:sz w:val="28"/>
          <w:szCs w:val="28"/>
          <w:lang w:val="en-US"/>
        </w:rPr>
        <w:t xml:space="preserve">his checklist sets out the requirements for outsourcing contracts pursuant to the </w:t>
      </w:r>
      <w:hyperlink r:id="rId12" w:history="1">
        <w:r w:rsidR="009349A3" w:rsidRPr="009643C8">
          <w:rPr>
            <w:rStyle w:val="Hyperlink"/>
            <w:rFonts w:ascii="Calibri" w:hAnsi="Calibri" w:cs="Calibri"/>
            <w:sz w:val="28"/>
            <w:szCs w:val="28"/>
            <w:lang w:val="en-US"/>
          </w:rPr>
          <w:t>EBA Guidelines on outsourcing arrangements (EBA/</w:t>
        </w:r>
        <w:r w:rsidRPr="009643C8">
          <w:rPr>
            <w:rStyle w:val="Hyperlink"/>
            <w:rFonts w:ascii="Calibri" w:hAnsi="Calibri" w:cs="Calibri"/>
            <w:sz w:val="28"/>
            <w:szCs w:val="28"/>
            <w:lang w:val="en-US"/>
          </w:rPr>
          <w:t>GL/</w:t>
        </w:r>
        <w:r w:rsidR="00816206" w:rsidRPr="009643C8">
          <w:rPr>
            <w:rStyle w:val="Hyperlink"/>
            <w:rFonts w:ascii="Calibri" w:hAnsi="Calibri" w:cs="Calibri"/>
            <w:sz w:val="28"/>
            <w:szCs w:val="28"/>
            <w:lang w:val="en-US"/>
          </w:rPr>
          <w:t>2019/02</w:t>
        </w:r>
        <w:r w:rsidRPr="009643C8">
          <w:rPr>
            <w:rStyle w:val="Hyperlink"/>
            <w:rFonts w:ascii="Calibri" w:hAnsi="Calibri" w:cs="Calibri"/>
            <w:sz w:val="28"/>
            <w:szCs w:val="28"/>
            <w:lang w:val="en-US"/>
          </w:rPr>
          <w:t>)</w:t>
        </w:r>
      </w:hyperlink>
      <w:r w:rsidR="00F60E74">
        <w:rPr>
          <w:rFonts w:ascii="Calibri" w:hAnsi="Calibri" w:cs="Calibri"/>
          <w:color w:val="000000"/>
          <w:sz w:val="28"/>
          <w:szCs w:val="28"/>
          <w:lang w:val="en-US"/>
        </w:rPr>
        <w:t xml:space="preserve">. </w:t>
      </w:r>
      <w:r w:rsidR="00F60E74" w:rsidRPr="00F60E74">
        <w:rPr>
          <w:rFonts w:ascii="Calibri" w:hAnsi="Calibri" w:cs="Calibri"/>
          <w:color w:val="000000"/>
          <w:sz w:val="28"/>
          <w:szCs w:val="28"/>
          <w:lang w:val="en-US"/>
        </w:rPr>
        <w:t>It also includes the key contractual provisions that must be included in ICT contracts with ICT third-party service providers pursuant to Article 28(7) and 30 of the Digital Operational Resilience Act (</w:t>
      </w:r>
      <w:r w:rsidR="00F60E74">
        <w:rPr>
          <w:rFonts w:ascii="Calibri" w:hAnsi="Calibri" w:cs="Calibri"/>
          <w:color w:val="000000"/>
          <w:sz w:val="28"/>
          <w:szCs w:val="28"/>
          <w:lang w:val="en-US"/>
        </w:rPr>
        <w:t>“</w:t>
      </w:r>
      <w:r w:rsidR="00F60E74" w:rsidRPr="00F60E74">
        <w:rPr>
          <w:rFonts w:ascii="Calibri" w:hAnsi="Calibri" w:cs="Calibri"/>
          <w:b/>
          <w:bCs/>
          <w:color w:val="000000"/>
          <w:sz w:val="28"/>
          <w:szCs w:val="28"/>
          <w:lang w:val="en-US"/>
        </w:rPr>
        <w:t>DORA</w:t>
      </w:r>
      <w:r w:rsidR="00F60E74">
        <w:rPr>
          <w:rFonts w:ascii="Calibri" w:hAnsi="Calibri" w:cs="Calibri"/>
          <w:color w:val="000000"/>
          <w:sz w:val="28"/>
          <w:szCs w:val="28"/>
          <w:lang w:val="en-US"/>
        </w:rPr>
        <w:t>”</w:t>
      </w:r>
      <w:r w:rsidR="00F60E74" w:rsidRPr="00F60E74">
        <w:rPr>
          <w:rFonts w:ascii="Calibri" w:hAnsi="Calibri" w:cs="Calibri"/>
          <w:color w:val="000000"/>
          <w:sz w:val="28"/>
          <w:szCs w:val="28"/>
          <w:lang w:val="en-US"/>
        </w:rPr>
        <w:t>), regardless of whether or not the ICT contract concerns outsourcing.</w:t>
      </w:r>
      <w:r w:rsidR="00F60E74">
        <w:rPr>
          <w:rFonts w:ascii="Calibri" w:hAnsi="Calibri" w:cs="Calibri"/>
          <w:color w:val="000000"/>
          <w:sz w:val="28"/>
          <w:szCs w:val="28"/>
          <w:lang w:val="en-US"/>
        </w:rPr>
        <w:t xml:space="preserve"> </w:t>
      </w:r>
      <w:r w:rsidR="00E459A5">
        <w:rPr>
          <w:rFonts w:ascii="Calibri" w:hAnsi="Calibri" w:cs="Calibri"/>
          <w:color w:val="000000"/>
          <w:sz w:val="28"/>
          <w:szCs w:val="28"/>
          <w:lang w:val="en-US"/>
        </w:rPr>
        <w:t xml:space="preserve">and for IT contracts pursuant to the </w:t>
      </w:r>
      <w:hyperlink r:id="rId13" w:history="1">
        <w:r w:rsidR="00E459A5" w:rsidRPr="00CC401F">
          <w:rPr>
            <w:rStyle w:val="Hyperlink"/>
            <w:rFonts w:ascii="Calibri" w:hAnsi="Calibri" w:cs="Calibri"/>
            <w:sz w:val="28"/>
            <w:szCs w:val="28"/>
            <w:lang w:val="en-US"/>
          </w:rPr>
          <w:t>Digital Operational Resilience Act</w:t>
        </w:r>
      </w:hyperlink>
      <w:r w:rsidR="00E459A5">
        <w:rPr>
          <w:rFonts w:ascii="Calibri" w:hAnsi="Calibri" w:cs="Calibri"/>
          <w:color w:val="000000"/>
          <w:sz w:val="28"/>
          <w:szCs w:val="28"/>
          <w:lang w:val="en-US"/>
        </w:rPr>
        <w:t xml:space="preserve"> (</w:t>
      </w:r>
      <w:r w:rsidR="00CC401F">
        <w:rPr>
          <w:rFonts w:ascii="Calibri" w:hAnsi="Calibri" w:cs="Calibri"/>
          <w:color w:val="000000"/>
          <w:sz w:val="28"/>
          <w:szCs w:val="28"/>
          <w:lang w:val="en-US"/>
        </w:rPr>
        <w:t>“</w:t>
      </w:r>
      <w:r w:rsidR="00E459A5" w:rsidRPr="00CC401F">
        <w:rPr>
          <w:rFonts w:ascii="Calibri" w:hAnsi="Calibri" w:cs="Calibri"/>
          <w:b/>
          <w:bCs/>
          <w:color w:val="000000"/>
          <w:sz w:val="28"/>
          <w:szCs w:val="28"/>
          <w:lang w:val="en-US"/>
        </w:rPr>
        <w:t>DORA</w:t>
      </w:r>
      <w:r w:rsidR="00CC401F">
        <w:rPr>
          <w:rFonts w:ascii="Calibri" w:hAnsi="Calibri" w:cs="Calibri"/>
          <w:color w:val="000000"/>
          <w:sz w:val="28"/>
          <w:szCs w:val="28"/>
          <w:lang w:val="en-US"/>
        </w:rPr>
        <w:t>”</w:t>
      </w:r>
      <w:r w:rsidR="00E459A5">
        <w:rPr>
          <w:rFonts w:ascii="Calibri" w:hAnsi="Calibri" w:cs="Calibri"/>
          <w:color w:val="000000"/>
          <w:sz w:val="28"/>
          <w:szCs w:val="28"/>
          <w:lang w:val="en-US"/>
        </w:rPr>
        <w:t>).</w:t>
      </w:r>
      <w:r w:rsidRPr="00295056">
        <w:rPr>
          <w:rFonts w:ascii="Calibri" w:hAnsi="Calibri" w:cs="Calibri"/>
          <w:color w:val="000000"/>
          <w:sz w:val="28"/>
          <w:szCs w:val="28"/>
          <w:lang w:val="en-US"/>
        </w:rPr>
        <w:t xml:space="preserve"> </w:t>
      </w:r>
      <w:r w:rsidR="009349A3" w:rsidRPr="00295056">
        <w:rPr>
          <w:rFonts w:ascii="Calibri" w:hAnsi="Calibri" w:cs="Calibri"/>
          <w:color w:val="000000"/>
          <w:sz w:val="28"/>
          <w:szCs w:val="28"/>
          <w:lang w:val="en-US"/>
        </w:rPr>
        <w:t>Any reference to ‘</w:t>
      </w:r>
      <w:r w:rsidR="009349A3" w:rsidRPr="00F60E74">
        <w:rPr>
          <w:rFonts w:ascii="Calibri" w:hAnsi="Calibri" w:cs="Calibri"/>
          <w:b/>
          <w:bCs/>
          <w:color w:val="000000"/>
          <w:sz w:val="28"/>
          <w:szCs w:val="28"/>
          <w:lang w:val="en-US"/>
        </w:rPr>
        <w:t>institutions</w:t>
      </w:r>
      <w:r w:rsidR="009349A3" w:rsidRPr="00295056">
        <w:rPr>
          <w:rFonts w:ascii="Calibri" w:hAnsi="Calibri" w:cs="Calibri"/>
          <w:color w:val="000000"/>
          <w:sz w:val="28"/>
          <w:szCs w:val="28"/>
          <w:lang w:val="en-US"/>
        </w:rPr>
        <w:t xml:space="preserve">’ refers to credit institutions and investment firms subject to </w:t>
      </w:r>
      <w:hyperlink r:id="rId14" w:history="1">
        <w:r w:rsidR="009349A3" w:rsidRPr="00D24D66">
          <w:rPr>
            <w:rStyle w:val="Hyperlink"/>
            <w:rFonts w:ascii="Calibri" w:hAnsi="Calibri" w:cs="Calibri"/>
            <w:sz w:val="28"/>
            <w:szCs w:val="28"/>
            <w:lang w:val="en-US"/>
          </w:rPr>
          <w:t>Directive 20</w:t>
        </w:r>
        <w:r w:rsidR="00961B43" w:rsidRPr="00D24D66">
          <w:rPr>
            <w:rStyle w:val="Hyperlink"/>
            <w:rFonts w:ascii="Calibri" w:hAnsi="Calibri" w:cs="Calibri"/>
            <w:sz w:val="28"/>
            <w:szCs w:val="28"/>
            <w:lang w:val="en-US"/>
          </w:rPr>
          <w:t>1</w:t>
        </w:r>
        <w:r w:rsidR="009349A3" w:rsidRPr="00D24D66">
          <w:rPr>
            <w:rStyle w:val="Hyperlink"/>
            <w:rFonts w:ascii="Calibri" w:hAnsi="Calibri" w:cs="Calibri"/>
            <w:sz w:val="28"/>
            <w:szCs w:val="28"/>
            <w:lang w:val="en-US"/>
          </w:rPr>
          <w:t>3/36/EU (CRD IV)</w:t>
        </w:r>
      </w:hyperlink>
      <w:r w:rsidR="00F60E74">
        <w:rPr>
          <w:rFonts w:ascii="Calibri" w:hAnsi="Calibri" w:cs="Calibri"/>
          <w:color w:val="000000"/>
          <w:sz w:val="28"/>
          <w:szCs w:val="28"/>
          <w:lang w:val="en-US"/>
        </w:rPr>
        <w:t>,</w:t>
      </w:r>
      <w:r w:rsidR="009349A3" w:rsidRPr="00295056">
        <w:rPr>
          <w:rFonts w:ascii="Calibri" w:hAnsi="Calibri" w:cs="Calibri"/>
          <w:color w:val="000000"/>
          <w:sz w:val="28"/>
          <w:szCs w:val="28"/>
          <w:lang w:val="en-US"/>
        </w:rPr>
        <w:t xml:space="preserve"> any reference to ‘</w:t>
      </w:r>
      <w:r w:rsidR="004E50E3" w:rsidRPr="00F60E74">
        <w:rPr>
          <w:rFonts w:ascii="Calibri" w:hAnsi="Calibri" w:cs="Calibri"/>
          <w:b/>
          <w:bCs/>
          <w:color w:val="000000"/>
          <w:sz w:val="28"/>
          <w:szCs w:val="28"/>
          <w:lang w:val="en-US"/>
        </w:rPr>
        <w:t>payment institutions</w:t>
      </w:r>
      <w:r w:rsidR="004E50E3" w:rsidRPr="00295056">
        <w:rPr>
          <w:rFonts w:ascii="Calibri" w:hAnsi="Calibri" w:cs="Calibri"/>
          <w:color w:val="000000"/>
          <w:sz w:val="28"/>
          <w:szCs w:val="28"/>
          <w:lang w:val="en-US"/>
        </w:rPr>
        <w:t>’ refer to payment institutions and electronic money institutions</w:t>
      </w:r>
      <w:r w:rsidR="00F60E74">
        <w:rPr>
          <w:rFonts w:ascii="Calibri" w:hAnsi="Calibri" w:cs="Calibri"/>
          <w:color w:val="000000"/>
          <w:sz w:val="28"/>
          <w:szCs w:val="28"/>
          <w:lang w:val="en-US"/>
        </w:rPr>
        <w:t xml:space="preserve"> and any reference to ‘</w:t>
      </w:r>
      <w:r w:rsidR="00F60E74">
        <w:rPr>
          <w:rFonts w:ascii="Calibri" w:hAnsi="Calibri" w:cs="Calibri"/>
          <w:b/>
          <w:bCs/>
          <w:color w:val="000000"/>
          <w:sz w:val="28"/>
          <w:szCs w:val="28"/>
          <w:lang w:val="en-US"/>
        </w:rPr>
        <w:t>financial entity</w:t>
      </w:r>
      <w:r w:rsidR="00F60E74">
        <w:rPr>
          <w:rFonts w:ascii="Calibri" w:hAnsi="Calibri" w:cs="Calibri"/>
          <w:color w:val="000000"/>
          <w:sz w:val="28"/>
          <w:szCs w:val="28"/>
          <w:lang w:val="en-US"/>
        </w:rPr>
        <w:t xml:space="preserve">’ refers to </w:t>
      </w:r>
      <w:r w:rsidR="00D7410B">
        <w:rPr>
          <w:rFonts w:ascii="Calibri" w:hAnsi="Calibri" w:cs="Calibri"/>
          <w:color w:val="000000"/>
          <w:sz w:val="28"/>
          <w:szCs w:val="28"/>
          <w:lang w:val="en-US"/>
        </w:rPr>
        <w:t>all EU supervised financial institutions which are subject to DORA pursuant to Article 2(1) thereof</w:t>
      </w:r>
      <w:r w:rsidR="004E50E3" w:rsidRPr="00295056">
        <w:rPr>
          <w:rFonts w:ascii="Calibri" w:hAnsi="Calibri" w:cs="Calibri"/>
          <w:color w:val="000000"/>
          <w:sz w:val="28"/>
          <w:szCs w:val="28"/>
          <w:lang w:val="en-US"/>
        </w:rPr>
        <w:t xml:space="preserve">. </w:t>
      </w:r>
    </w:p>
    <w:p w14:paraId="75797035" w14:textId="7E6D61F8" w:rsidR="00987305" w:rsidRPr="00987305" w:rsidRDefault="00987305" w:rsidP="00D70666">
      <w:pPr>
        <w:pStyle w:val="Normaalweb"/>
        <w:spacing w:before="0" w:beforeAutospacing="0" w:after="225" w:afterAutospacing="0"/>
        <w:rPr>
          <w:rFonts w:ascii="Calibri" w:hAnsi="Calibri" w:cs="Calibri"/>
          <w:b/>
          <w:bCs/>
          <w:color w:val="000000"/>
          <w:sz w:val="28"/>
          <w:szCs w:val="28"/>
          <w:lang w:val="en-US"/>
        </w:rPr>
      </w:pPr>
      <w:r>
        <w:rPr>
          <w:rFonts w:ascii="Calibri" w:hAnsi="Calibri" w:cs="Calibri"/>
          <w:b/>
          <w:bCs/>
          <w:color w:val="000000"/>
          <w:sz w:val="28"/>
          <w:szCs w:val="28"/>
          <w:lang w:val="en-US"/>
        </w:rPr>
        <w:t xml:space="preserve">N.B.: This checklist </w:t>
      </w:r>
      <w:r w:rsidR="00693476">
        <w:rPr>
          <w:rFonts w:ascii="Calibri" w:hAnsi="Calibri" w:cs="Calibri"/>
          <w:b/>
          <w:bCs/>
          <w:color w:val="000000"/>
          <w:sz w:val="28"/>
          <w:szCs w:val="28"/>
          <w:lang w:val="en-US"/>
        </w:rPr>
        <w:t xml:space="preserve">provides an overview of the most important clauses </w:t>
      </w:r>
      <w:r w:rsidR="00CC0257">
        <w:rPr>
          <w:rFonts w:ascii="Calibri" w:hAnsi="Calibri" w:cs="Calibri"/>
          <w:b/>
          <w:bCs/>
          <w:color w:val="000000"/>
          <w:sz w:val="28"/>
          <w:szCs w:val="28"/>
          <w:lang w:val="en-US"/>
        </w:rPr>
        <w:t xml:space="preserve">(i) </w:t>
      </w:r>
      <w:r w:rsidR="00693476">
        <w:rPr>
          <w:rFonts w:ascii="Calibri" w:hAnsi="Calibri" w:cs="Calibri"/>
          <w:b/>
          <w:bCs/>
          <w:color w:val="000000"/>
          <w:sz w:val="28"/>
          <w:szCs w:val="28"/>
          <w:lang w:val="en-US"/>
        </w:rPr>
        <w:t>for outsourcing contracts</w:t>
      </w:r>
      <w:r w:rsidR="002F0191">
        <w:rPr>
          <w:rFonts w:ascii="Calibri" w:hAnsi="Calibri" w:cs="Calibri"/>
          <w:b/>
          <w:bCs/>
          <w:color w:val="000000"/>
          <w:sz w:val="28"/>
          <w:szCs w:val="28"/>
          <w:lang w:val="en-US"/>
        </w:rPr>
        <w:t xml:space="preserve"> pursuant to the EBA Guidelines on outsourcing arrangements</w:t>
      </w:r>
      <w:r w:rsidR="00E459A5">
        <w:rPr>
          <w:rFonts w:ascii="Calibri" w:hAnsi="Calibri" w:cs="Calibri"/>
          <w:b/>
          <w:bCs/>
          <w:color w:val="000000"/>
          <w:sz w:val="28"/>
          <w:szCs w:val="28"/>
          <w:lang w:val="en-US"/>
        </w:rPr>
        <w:t xml:space="preserve"> and </w:t>
      </w:r>
      <w:r w:rsidR="00CC0257">
        <w:rPr>
          <w:rFonts w:ascii="Calibri" w:hAnsi="Calibri" w:cs="Calibri"/>
          <w:b/>
          <w:bCs/>
          <w:color w:val="000000"/>
          <w:sz w:val="28"/>
          <w:szCs w:val="28"/>
          <w:lang w:val="en-US"/>
        </w:rPr>
        <w:t xml:space="preserve">(ii) for ICT contracts pursuant to </w:t>
      </w:r>
      <w:r w:rsidR="00CC401F">
        <w:rPr>
          <w:rFonts w:ascii="Calibri" w:hAnsi="Calibri" w:cs="Calibri"/>
          <w:b/>
          <w:bCs/>
          <w:color w:val="000000"/>
          <w:sz w:val="28"/>
          <w:szCs w:val="28"/>
          <w:lang w:val="en-US"/>
        </w:rPr>
        <w:t>DORA</w:t>
      </w:r>
      <w:r w:rsidR="00693476">
        <w:rPr>
          <w:rFonts w:ascii="Calibri" w:hAnsi="Calibri" w:cs="Calibri"/>
          <w:b/>
          <w:bCs/>
          <w:color w:val="000000"/>
          <w:sz w:val="28"/>
          <w:szCs w:val="28"/>
          <w:lang w:val="en-US"/>
        </w:rPr>
        <w:t xml:space="preserve">, but </w:t>
      </w:r>
      <w:r w:rsidR="008871E6">
        <w:rPr>
          <w:rFonts w:ascii="Calibri" w:hAnsi="Calibri" w:cs="Calibri"/>
          <w:b/>
          <w:bCs/>
          <w:color w:val="000000"/>
          <w:sz w:val="28"/>
          <w:szCs w:val="28"/>
          <w:lang w:val="en-US"/>
        </w:rPr>
        <w:t>does not p</w:t>
      </w:r>
      <w:r w:rsidR="002F4D6E">
        <w:rPr>
          <w:rFonts w:ascii="Calibri" w:hAnsi="Calibri" w:cs="Calibri"/>
          <w:b/>
          <w:bCs/>
          <w:color w:val="000000"/>
          <w:sz w:val="28"/>
          <w:szCs w:val="28"/>
          <w:lang w:val="en-US"/>
        </w:rPr>
        <w:t>urport to p</w:t>
      </w:r>
      <w:r w:rsidR="008871E6">
        <w:rPr>
          <w:rFonts w:ascii="Calibri" w:hAnsi="Calibri" w:cs="Calibri"/>
          <w:b/>
          <w:bCs/>
          <w:color w:val="000000"/>
          <w:sz w:val="28"/>
          <w:szCs w:val="28"/>
          <w:lang w:val="en-US"/>
        </w:rPr>
        <w:t xml:space="preserve">rovide a complete overview of all relevant </w:t>
      </w:r>
      <w:r w:rsidR="00AB06DF">
        <w:rPr>
          <w:rFonts w:ascii="Calibri" w:hAnsi="Calibri" w:cs="Calibri"/>
          <w:b/>
          <w:bCs/>
          <w:color w:val="000000"/>
          <w:sz w:val="28"/>
          <w:szCs w:val="28"/>
          <w:lang w:val="en-US"/>
        </w:rPr>
        <w:t xml:space="preserve">clauses. </w:t>
      </w:r>
      <w:r w:rsidR="00AC7BA7">
        <w:rPr>
          <w:rFonts w:ascii="Calibri" w:hAnsi="Calibri" w:cs="Calibri"/>
          <w:b/>
          <w:bCs/>
          <w:color w:val="000000"/>
          <w:sz w:val="28"/>
          <w:szCs w:val="28"/>
          <w:lang w:val="en-US"/>
        </w:rPr>
        <w:t xml:space="preserve">A check by a lawyer is always required. </w:t>
      </w:r>
    </w:p>
    <w:p w14:paraId="129C1C45" w14:textId="77777777" w:rsidR="00295056" w:rsidRPr="00295056" w:rsidRDefault="00295056" w:rsidP="00D70666">
      <w:pPr>
        <w:pStyle w:val="Normaalweb"/>
        <w:spacing w:before="0" w:beforeAutospacing="0" w:after="225" w:afterAutospacing="0"/>
        <w:rPr>
          <w:rFonts w:ascii="Calibri" w:hAnsi="Calibri" w:cs="Calibri"/>
          <w:color w:val="000000"/>
          <w:lang w:val="en-US"/>
        </w:rPr>
      </w:pPr>
    </w:p>
    <w:tbl>
      <w:tblPr>
        <w:tblStyle w:val="Tabelraster"/>
        <w:tblW w:w="0" w:type="auto"/>
        <w:tblLook w:val="04A0" w:firstRow="1" w:lastRow="0" w:firstColumn="1" w:lastColumn="0" w:noHBand="0" w:noVBand="1"/>
      </w:tblPr>
      <w:tblGrid>
        <w:gridCol w:w="778"/>
        <w:gridCol w:w="5210"/>
        <w:gridCol w:w="1275"/>
        <w:gridCol w:w="1834"/>
        <w:gridCol w:w="4242"/>
      </w:tblGrid>
      <w:tr w:rsidR="00670671" w:rsidRPr="00295056" w14:paraId="780018A8" w14:textId="77777777" w:rsidTr="00425363">
        <w:trPr>
          <w:trHeight w:val="232"/>
        </w:trPr>
        <w:tc>
          <w:tcPr>
            <w:tcW w:w="778" w:type="dxa"/>
            <w:shd w:val="clear" w:color="auto" w:fill="00B0F0"/>
          </w:tcPr>
          <w:p w14:paraId="4A2C815B" w14:textId="77777777" w:rsidR="005B1138" w:rsidRPr="00295056" w:rsidRDefault="005B1138" w:rsidP="00311051">
            <w:pPr>
              <w:rPr>
                <w:rFonts w:ascii="Calibri" w:hAnsi="Calibri" w:cs="Calibri"/>
                <w:b/>
                <w:bCs/>
                <w:color w:val="FFFFFF" w:themeColor="background1"/>
                <w:sz w:val="24"/>
                <w:szCs w:val="24"/>
              </w:rPr>
            </w:pPr>
            <w:r w:rsidRPr="00295056">
              <w:rPr>
                <w:rFonts w:ascii="Calibri" w:hAnsi="Calibri" w:cs="Calibri"/>
                <w:b/>
                <w:bCs/>
                <w:color w:val="FFFFFF" w:themeColor="background1"/>
                <w:sz w:val="24"/>
                <w:szCs w:val="24"/>
              </w:rPr>
              <w:t>Item</w:t>
            </w:r>
          </w:p>
        </w:tc>
        <w:tc>
          <w:tcPr>
            <w:tcW w:w="5210" w:type="dxa"/>
            <w:shd w:val="clear" w:color="auto" w:fill="00B0F0"/>
          </w:tcPr>
          <w:p w14:paraId="286B53D5" w14:textId="77777777" w:rsidR="005B1138" w:rsidRPr="00295056" w:rsidRDefault="005B1138" w:rsidP="00311051">
            <w:pPr>
              <w:rPr>
                <w:rFonts w:ascii="Calibri" w:hAnsi="Calibri" w:cs="Calibri"/>
                <w:b/>
                <w:bCs/>
                <w:color w:val="FFFFFF" w:themeColor="background1"/>
                <w:sz w:val="24"/>
                <w:szCs w:val="24"/>
              </w:rPr>
            </w:pPr>
            <w:r w:rsidRPr="00295056">
              <w:rPr>
                <w:rFonts w:ascii="Calibri" w:hAnsi="Calibri" w:cs="Calibri"/>
                <w:b/>
                <w:bCs/>
                <w:color w:val="FFFFFF" w:themeColor="background1"/>
                <w:sz w:val="24"/>
                <w:szCs w:val="24"/>
              </w:rPr>
              <w:t>Requirement</w:t>
            </w:r>
          </w:p>
        </w:tc>
        <w:tc>
          <w:tcPr>
            <w:tcW w:w="1275" w:type="dxa"/>
            <w:shd w:val="clear" w:color="auto" w:fill="00B0F0"/>
          </w:tcPr>
          <w:p w14:paraId="387BC8B4" w14:textId="77777777" w:rsidR="005B1138" w:rsidRPr="00295056" w:rsidRDefault="005B1138" w:rsidP="00311051">
            <w:pPr>
              <w:rPr>
                <w:rFonts w:ascii="Calibri" w:hAnsi="Calibri" w:cs="Calibri"/>
                <w:b/>
                <w:bCs/>
                <w:color w:val="FFFFFF" w:themeColor="background1"/>
                <w:sz w:val="24"/>
                <w:szCs w:val="24"/>
                <w:lang w:val="en-US"/>
              </w:rPr>
            </w:pPr>
            <w:r w:rsidRPr="00295056">
              <w:rPr>
                <w:rFonts w:ascii="Calibri" w:hAnsi="Calibri" w:cs="Calibri"/>
                <w:b/>
                <w:bCs/>
                <w:color w:val="FFFFFF" w:themeColor="background1"/>
                <w:sz w:val="24"/>
                <w:szCs w:val="24"/>
                <w:lang w:val="en-US"/>
              </w:rPr>
              <w:t>Included in the contract (yes/no)?</w:t>
            </w:r>
          </w:p>
        </w:tc>
        <w:tc>
          <w:tcPr>
            <w:tcW w:w="1834" w:type="dxa"/>
            <w:shd w:val="clear" w:color="auto" w:fill="00B0F0"/>
          </w:tcPr>
          <w:p w14:paraId="7FCF6F50" w14:textId="77777777" w:rsidR="005B1138" w:rsidRPr="00295056" w:rsidRDefault="005B1138" w:rsidP="00311051">
            <w:pPr>
              <w:rPr>
                <w:rFonts w:ascii="Calibri" w:hAnsi="Calibri" w:cs="Calibri"/>
                <w:b/>
                <w:bCs/>
                <w:color w:val="FFFFFF" w:themeColor="background1"/>
                <w:sz w:val="24"/>
                <w:szCs w:val="24"/>
                <w:lang w:val="en-US"/>
              </w:rPr>
            </w:pPr>
            <w:r w:rsidRPr="00295056">
              <w:rPr>
                <w:rFonts w:ascii="Calibri" w:hAnsi="Calibri" w:cs="Calibri"/>
                <w:b/>
                <w:bCs/>
                <w:color w:val="FFFFFF" w:themeColor="background1"/>
                <w:sz w:val="24"/>
                <w:szCs w:val="24"/>
                <w:lang w:val="en-US"/>
              </w:rPr>
              <w:t>Where included</w:t>
            </w:r>
          </w:p>
        </w:tc>
        <w:tc>
          <w:tcPr>
            <w:tcW w:w="4242" w:type="dxa"/>
            <w:shd w:val="clear" w:color="auto" w:fill="00B0F0"/>
          </w:tcPr>
          <w:p w14:paraId="53EE4CAB" w14:textId="77777777" w:rsidR="005B1138" w:rsidRPr="00295056" w:rsidRDefault="005B1138" w:rsidP="00311051">
            <w:pPr>
              <w:rPr>
                <w:rFonts w:ascii="Calibri" w:hAnsi="Calibri" w:cs="Calibri"/>
                <w:b/>
                <w:bCs/>
                <w:color w:val="FFFFFF" w:themeColor="background1"/>
                <w:sz w:val="24"/>
                <w:szCs w:val="24"/>
                <w:lang w:val="en-US"/>
              </w:rPr>
            </w:pPr>
            <w:r w:rsidRPr="00295056">
              <w:rPr>
                <w:rFonts w:ascii="Calibri" w:hAnsi="Calibri" w:cs="Calibri"/>
                <w:b/>
                <w:bCs/>
                <w:color w:val="FFFFFF" w:themeColor="background1"/>
                <w:sz w:val="24"/>
                <w:szCs w:val="24"/>
                <w:lang w:val="en-US"/>
              </w:rPr>
              <w:t>Comments</w:t>
            </w:r>
          </w:p>
        </w:tc>
      </w:tr>
      <w:tr w:rsidR="009E339D" w:rsidRPr="009D0367" w14:paraId="42A7C191" w14:textId="77777777" w:rsidTr="009E339D">
        <w:tc>
          <w:tcPr>
            <w:tcW w:w="13339" w:type="dxa"/>
            <w:gridSpan w:val="5"/>
            <w:shd w:val="clear" w:color="auto" w:fill="7030A0"/>
          </w:tcPr>
          <w:p w14:paraId="1DBEFAC9" w14:textId="6FD734C2" w:rsidR="009E339D" w:rsidRPr="008170DA" w:rsidRDefault="0071674B" w:rsidP="00311051">
            <w:pPr>
              <w:rPr>
                <w:rFonts w:ascii="Calibri" w:hAnsi="Calibri" w:cs="Calibri"/>
                <w:b/>
                <w:bCs/>
                <w:color w:val="FFFFFF" w:themeColor="background1"/>
                <w:sz w:val="24"/>
                <w:szCs w:val="24"/>
                <w:lang w:val="en-US"/>
              </w:rPr>
            </w:pPr>
            <w:r>
              <w:rPr>
                <w:rFonts w:ascii="Calibri" w:hAnsi="Calibri" w:cs="Calibri"/>
                <w:b/>
                <w:bCs/>
                <w:color w:val="FFFFFF" w:themeColor="background1"/>
                <w:sz w:val="24"/>
                <w:szCs w:val="24"/>
                <w:lang w:val="en-US"/>
              </w:rPr>
              <w:t xml:space="preserve">EBA outsourcing guidelines - </w:t>
            </w:r>
            <w:r w:rsidR="009E339D" w:rsidRPr="008170DA">
              <w:rPr>
                <w:rFonts w:ascii="Calibri" w:hAnsi="Calibri" w:cs="Calibri"/>
                <w:b/>
                <w:bCs/>
                <w:color w:val="FFFFFF" w:themeColor="background1"/>
                <w:sz w:val="24"/>
                <w:szCs w:val="24"/>
                <w:lang w:val="en-US"/>
              </w:rPr>
              <w:t>General requirements</w:t>
            </w:r>
          </w:p>
        </w:tc>
      </w:tr>
      <w:tr w:rsidR="00295056" w:rsidRPr="009D0367" w14:paraId="19478494" w14:textId="77777777" w:rsidTr="00425363">
        <w:tc>
          <w:tcPr>
            <w:tcW w:w="778" w:type="dxa"/>
          </w:tcPr>
          <w:p w14:paraId="38B9BBA2" w14:textId="471255BD" w:rsidR="005B1138" w:rsidRPr="00295056" w:rsidRDefault="00924C4F" w:rsidP="00311051">
            <w:pPr>
              <w:rPr>
                <w:rFonts w:ascii="Calibri" w:hAnsi="Calibri" w:cs="Calibri"/>
                <w:sz w:val="24"/>
                <w:szCs w:val="24"/>
                <w:lang w:val="en-US"/>
              </w:rPr>
            </w:pPr>
            <w:r w:rsidRPr="00295056">
              <w:rPr>
                <w:rFonts w:ascii="Calibri" w:hAnsi="Calibri" w:cs="Calibri"/>
                <w:sz w:val="24"/>
                <w:szCs w:val="24"/>
                <w:lang w:val="en-US"/>
              </w:rPr>
              <w:t>1.</w:t>
            </w:r>
          </w:p>
        </w:tc>
        <w:tc>
          <w:tcPr>
            <w:tcW w:w="5210" w:type="dxa"/>
          </w:tcPr>
          <w:p w14:paraId="485FF52A" w14:textId="03105168" w:rsidR="005B1138" w:rsidRPr="00295056" w:rsidRDefault="003D7DE4"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A clear description of the outsourced function to be provided</w:t>
            </w:r>
            <w:r w:rsidR="0053512C">
              <w:rPr>
                <w:rFonts w:ascii="Calibri" w:hAnsi="Calibri" w:cs="Calibri"/>
                <w:color w:val="000000"/>
                <w:sz w:val="24"/>
                <w:szCs w:val="24"/>
                <w:lang w:val="en-US"/>
              </w:rPr>
              <w:t>.</w:t>
            </w:r>
          </w:p>
        </w:tc>
        <w:tc>
          <w:tcPr>
            <w:tcW w:w="1275" w:type="dxa"/>
          </w:tcPr>
          <w:p w14:paraId="244D38C2" w14:textId="77777777" w:rsidR="005B1138" w:rsidRPr="00295056" w:rsidRDefault="005B1138" w:rsidP="00311051">
            <w:pPr>
              <w:rPr>
                <w:rFonts w:ascii="Calibri" w:hAnsi="Calibri" w:cs="Calibri"/>
                <w:sz w:val="24"/>
                <w:szCs w:val="24"/>
                <w:lang w:val="en-US"/>
              </w:rPr>
            </w:pPr>
          </w:p>
        </w:tc>
        <w:tc>
          <w:tcPr>
            <w:tcW w:w="1834" w:type="dxa"/>
          </w:tcPr>
          <w:p w14:paraId="41871E8D" w14:textId="77777777" w:rsidR="005B1138" w:rsidRPr="00295056" w:rsidRDefault="005B1138" w:rsidP="00311051">
            <w:pPr>
              <w:rPr>
                <w:rFonts w:ascii="Calibri" w:hAnsi="Calibri" w:cs="Calibri"/>
                <w:sz w:val="24"/>
                <w:szCs w:val="24"/>
                <w:lang w:val="en-US"/>
              </w:rPr>
            </w:pPr>
          </w:p>
        </w:tc>
        <w:tc>
          <w:tcPr>
            <w:tcW w:w="4242" w:type="dxa"/>
          </w:tcPr>
          <w:p w14:paraId="77ABEA46" w14:textId="77777777" w:rsidR="005B1138" w:rsidRPr="00295056" w:rsidRDefault="005B1138" w:rsidP="00311051">
            <w:pPr>
              <w:rPr>
                <w:rFonts w:ascii="Calibri" w:hAnsi="Calibri" w:cs="Calibri"/>
                <w:sz w:val="24"/>
                <w:szCs w:val="24"/>
                <w:lang w:val="en-US"/>
              </w:rPr>
            </w:pPr>
          </w:p>
        </w:tc>
      </w:tr>
      <w:tr w:rsidR="00295056" w:rsidRPr="009D0367" w14:paraId="266BEC2B" w14:textId="77777777" w:rsidTr="00425363">
        <w:tc>
          <w:tcPr>
            <w:tcW w:w="778" w:type="dxa"/>
          </w:tcPr>
          <w:p w14:paraId="67B5F310" w14:textId="03AE46D2" w:rsidR="005B1138" w:rsidRPr="00295056" w:rsidRDefault="003D7DE4" w:rsidP="00311051">
            <w:pPr>
              <w:rPr>
                <w:rFonts w:ascii="Calibri" w:hAnsi="Calibri" w:cs="Calibri"/>
                <w:sz w:val="24"/>
                <w:szCs w:val="24"/>
                <w:lang w:val="en-US"/>
              </w:rPr>
            </w:pPr>
            <w:r w:rsidRPr="00295056">
              <w:rPr>
                <w:rFonts w:ascii="Calibri" w:hAnsi="Calibri" w:cs="Calibri"/>
                <w:sz w:val="24"/>
                <w:szCs w:val="24"/>
                <w:lang w:val="en-US"/>
              </w:rPr>
              <w:lastRenderedPageBreak/>
              <w:t>2.</w:t>
            </w:r>
          </w:p>
        </w:tc>
        <w:tc>
          <w:tcPr>
            <w:tcW w:w="5210" w:type="dxa"/>
          </w:tcPr>
          <w:p w14:paraId="4A3A89B9" w14:textId="240FA1CE" w:rsidR="005B1138" w:rsidRPr="00295056" w:rsidRDefault="0060403A"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start date and end date, where applicable, of the agreement and the notice periods for the service provider and the (payment) institution</w:t>
            </w:r>
            <w:r w:rsidR="0053512C">
              <w:rPr>
                <w:rFonts w:ascii="Calibri" w:hAnsi="Calibri" w:cs="Calibri"/>
                <w:color w:val="000000"/>
                <w:sz w:val="24"/>
                <w:szCs w:val="24"/>
                <w:lang w:val="en-US"/>
              </w:rPr>
              <w:t>.</w:t>
            </w:r>
          </w:p>
        </w:tc>
        <w:tc>
          <w:tcPr>
            <w:tcW w:w="1275" w:type="dxa"/>
          </w:tcPr>
          <w:p w14:paraId="42C2610A" w14:textId="77777777" w:rsidR="005B1138" w:rsidRPr="00295056" w:rsidRDefault="005B1138" w:rsidP="00311051">
            <w:pPr>
              <w:rPr>
                <w:rFonts w:ascii="Calibri" w:hAnsi="Calibri" w:cs="Calibri"/>
                <w:sz w:val="24"/>
                <w:szCs w:val="24"/>
                <w:lang w:val="en-US"/>
              </w:rPr>
            </w:pPr>
          </w:p>
        </w:tc>
        <w:tc>
          <w:tcPr>
            <w:tcW w:w="1834" w:type="dxa"/>
          </w:tcPr>
          <w:p w14:paraId="36118683" w14:textId="77777777" w:rsidR="005B1138" w:rsidRPr="00295056" w:rsidRDefault="005B1138" w:rsidP="00311051">
            <w:pPr>
              <w:rPr>
                <w:rFonts w:ascii="Calibri" w:hAnsi="Calibri" w:cs="Calibri"/>
                <w:sz w:val="24"/>
                <w:szCs w:val="24"/>
                <w:lang w:val="en-US"/>
              </w:rPr>
            </w:pPr>
          </w:p>
        </w:tc>
        <w:tc>
          <w:tcPr>
            <w:tcW w:w="4242" w:type="dxa"/>
          </w:tcPr>
          <w:p w14:paraId="59622D2D" w14:textId="77777777" w:rsidR="005B1138" w:rsidRPr="00295056" w:rsidRDefault="005B1138" w:rsidP="00311051">
            <w:pPr>
              <w:rPr>
                <w:rFonts w:ascii="Calibri" w:hAnsi="Calibri" w:cs="Calibri"/>
                <w:sz w:val="24"/>
                <w:szCs w:val="24"/>
                <w:lang w:val="en-US"/>
              </w:rPr>
            </w:pPr>
          </w:p>
        </w:tc>
      </w:tr>
      <w:tr w:rsidR="00295056" w:rsidRPr="009D0367" w14:paraId="77D64BA8" w14:textId="77777777" w:rsidTr="00425363">
        <w:tc>
          <w:tcPr>
            <w:tcW w:w="778" w:type="dxa"/>
          </w:tcPr>
          <w:p w14:paraId="154FF8C7" w14:textId="009F557E" w:rsidR="005B1138" w:rsidRPr="00295056" w:rsidRDefault="0060403A" w:rsidP="00311051">
            <w:pPr>
              <w:rPr>
                <w:rFonts w:ascii="Calibri" w:hAnsi="Calibri" w:cs="Calibri"/>
                <w:sz w:val="24"/>
                <w:szCs w:val="24"/>
                <w:lang w:val="en-US"/>
              </w:rPr>
            </w:pPr>
            <w:r w:rsidRPr="00295056">
              <w:rPr>
                <w:rFonts w:ascii="Calibri" w:hAnsi="Calibri" w:cs="Calibri"/>
                <w:sz w:val="24"/>
                <w:szCs w:val="24"/>
                <w:lang w:val="en-US"/>
              </w:rPr>
              <w:t>3.</w:t>
            </w:r>
          </w:p>
        </w:tc>
        <w:tc>
          <w:tcPr>
            <w:tcW w:w="5210" w:type="dxa"/>
          </w:tcPr>
          <w:p w14:paraId="3807A4E3" w14:textId="06BF16F6" w:rsidR="005B1138" w:rsidRPr="00295056" w:rsidRDefault="00843A6E"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governing law of the contract</w:t>
            </w:r>
            <w:r w:rsidR="0053512C">
              <w:rPr>
                <w:rFonts w:ascii="Calibri" w:hAnsi="Calibri" w:cs="Calibri"/>
                <w:color w:val="000000"/>
                <w:sz w:val="24"/>
                <w:szCs w:val="24"/>
                <w:lang w:val="en-US"/>
              </w:rPr>
              <w:t>.</w:t>
            </w:r>
          </w:p>
        </w:tc>
        <w:tc>
          <w:tcPr>
            <w:tcW w:w="1275" w:type="dxa"/>
          </w:tcPr>
          <w:p w14:paraId="184D73F4" w14:textId="77777777" w:rsidR="005B1138" w:rsidRPr="00295056" w:rsidRDefault="005B1138" w:rsidP="00311051">
            <w:pPr>
              <w:rPr>
                <w:rFonts w:ascii="Calibri" w:hAnsi="Calibri" w:cs="Calibri"/>
                <w:sz w:val="24"/>
                <w:szCs w:val="24"/>
                <w:lang w:val="en-US"/>
              </w:rPr>
            </w:pPr>
          </w:p>
        </w:tc>
        <w:tc>
          <w:tcPr>
            <w:tcW w:w="1834" w:type="dxa"/>
          </w:tcPr>
          <w:p w14:paraId="6E662929" w14:textId="77777777" w:rsidR="005B1138" w:rsidRPr="00295056" w:rsidRDefault="005B1138" w:rsidP="00311051">
            <w:pPr>
              <w:rPr>
                <w:rFonts w:ascii="Calibri" w:hAnsi="Calibri" w:cs="Calibri"/>
                <w:sz w:val="24"/>
                <w:szCs w:val="24"/>
                <w:lang w:val="en-US"/>
              </w:rPr>
            </w:pPr>
          </w:p>
        </w:tc>
        <w:tc>
          <w:tcPr>
            <w:tcW w:w="4242" w:type="dxa"/>
          </w:tcPr>
          <w:p w14:paraId="6045FBB5" w14:textId="77777777" w:rsidR="005B1138" w:rsidRPr="00295056" w:rsidRDefault="005B1138" w:rsidP="00311051">
            <w:pPr>
              <w:rPr>
                <w:rFonts w:ascii="Calibri" w:hAnsi="Calibri" w:cs="Calibri"/>
                <w:sz w:val="24"/>
                <w:szCs w:val="24"/>
                <w:lang w:val="en-US"/>
              </w:rPr>
            </w:pPr>
          </w:p>
        </w:tc>
      </w:tr>
      <w:tr w:rsidR="00295056" w:rsidRPr="009D0367" w14:paraId="2A2DC651" w14:textId="77777777" w:rsidTr="00425363">
        <w:tc>
          <w:tcPr>
            <w:tcW w:w="778" w:type="dxa"/>
          </w:tcPr>
          <w:p w14:paraId="7321645D" w14:textId="34DE7A2D" w:rsidR="005B1138" w:rsidRPr="00295056" w:rsidRDefault="00843A6E" w:rsidP="00311051">
            <w:pPr>
              <w:rPr>
                <w:rFonts w:ascii="Calibri" w:hAnsi="Calibri" w:cs="Calibri"/>
                <w:sz w:val="24"/>
                <w:szCs w:val="24"/>
                <w:lang w:val="en-US"/>
              </w:rPr>
            </w:pPr>
            <w:r w:rsidRPr="00295056">
              <w:rPr>
                <w:rFonts w:ascii="Calibri" w:hAnsi="Calibri" w:cs="Calibri"/>
                <w:sz w:val="24"/>
                <w:szCs w:val="24"/>
                <w:lang w:val="en-US"/>
              </w:rPr>
              <w:t>4.</w:t>
            </w:r>
          </w:p>
        </w:tc>
        <w:tc>
          <w:tcPr>
            <w:tcW w:w="5210" w:type="dxa"/>
          </w:tcPr>
          <w:p w14:paraId="63143932" w14:textId="6BE08B8B" w:rsidR="005B1138" w:rsidRPr="00295056" w:rsidRDefault="00843A6E" w:rsidP="00311051">
            <w:pPr>
              <w:rPr>
                <w:rFonts w:ascii="Calibri" w:hAnsi="Calibri" w:cs="Calibri"/>
                <w:sz w:val="24"/>
                <w:szCs w:val="24"/>
                <w:lang w:val="en-US"/>
              </w:rPr>
            </w:pPr>
            <w:r w:rsidRPr="00295056">
              <w:rPr>
                <w:rFonts w:ascii="Calibri" w:hAnsi="Calibri" w:cs="Calibri"/>
                <w:sz w:val="24"/>
                <w:szCs w:val="24"/>
                <w:lang w:val="en-US"/>
              </w:rPr>
              <w:t>A clear description of the parties' financial obligations</w:t>
            </w:r>
            <w:r w:rsidR="0053512C">
              <w:rPr>
                <w:rFonts w:ascii="Calibri" w:hAnsi="Calibri" w:cs="Calibri"/>
                <w:sz w:val="24"/>
                <w:szCs w:val="24"/>
                <w:lang w:val="en-US"/>
              </w:rPr>
              <w:t>.</w:t>
            </w:r>
          </w:p>
        </w:tc>
        <w:tc>
          <w:tcPr>
            <w:tcW w:w="1275" w:type="dxa"/>
          </w:tcPr>
          <w:p w14:paraId="19E32548" w14:textId="77777777" w:rsidR="005B1138" w:rsidRPr="00295056" w:rsidRDefault="005B1138" w:rsidP="00311051">
            <w:pPr>
              <w:rPr>
                <w:rFonts w:ascii="Calibri" w:hAnsi="Calibri" w:cs="Calibri"/>
                <w:sz w:val="24"/>
                <w:szCs w:val="24"/>
                <w:lang w:val="en-US"/>
              </w:rPr>
            </w:pPr>
          </w:p>
        </w:tc>
        <w:tc>
          <w:tcPr>
            <w:tcW w:w="1834" w:type="dxa"/>
          </w:tcPr>
          <w:p w14:paraId="3A1A0722" w14:textId="77777777" w:rsidR="005B1138" w:rsidRPr="00295056" w:rsidRDefault="005B1138" w:rsidP="00311051">
            <w:pPr>
              <w:rPr>
                <w:rFonts w:ascii="Calibri" w:hAnsi="Calibri" w:cs="Calibri"/>
                <w:sz w:val="24"/>
                <w:szCs w:val="24"/>
                <w:lang w:val="en-US"/>
              </w:rPr>
            </w:pPr>
          </w:p>
        </w:tc>
        <w:tc>
          <w:tcPr>
            <w:tcW w:w="4242" w:type="dxa"/>
          </w:tcPr>
          <w:p w14:paraId="1390843D" w14:textId="77777777" w:rsidR="005B1138" w:rsidRPr="00295056" w:rsidRDefault="005B1138" w:rsidP="00311051">
            <w:pPr>
              <w:rPr>
                <w:rFonts w:ascii="Calibri" w:hAnsi="Calibri" w:cs="Calibri"/>
                <w:sz w:val="24"/>
                <w:szCs w:val="24"/>
                <w:lang w:val="en-US"/>
              </w:rPr>
            </w:pPr>
          </w:p>
        </w:tc>
      </w:tr>
      <w:tr w:rsidR="00295056" w:rsidRPr="009D0367" w14:paraId="0CAE1BB4" w14:textId="77777777" w:rsidTr="00425363">
        <w:tc>
          <w:tcPr>
            <w:tcW w:w="778" w:type="dxa"/>
          </w:tcPr>
          <w:p w14:paraId="391DE712" w14:textId="442F8E85" w:rsidR="005B1138" w:rsidRPr="00295056" w:rsidRDefault="00843A6E" w:rsidP="00311051">
            <w:pPr>
              <w:rPr>
                <w:rFonts w:ascii="Calibri" w:hAnsi="Calibri" w:cs="Calibri"/>
                <w:sz w:val="24"/>
                <w:szCs w:val="24"/>
                <w:lang w:val="en-US"/>
              </w:rPr>
            </w:pPr>
            <w:r w:rsidRPr="00295056">
              <w:rPr>
                <w:rFonts w:ascii="Calibri" w:hAnsi="Calibri" w:cs="Calibri"/>
                <w:sz w:val="24"/>
                <w:szCs w:val="24"/>
                <w:lang w:val="en-US"/>
              </w:rPr>
              <w:t>5.</w:t>
            </w:r>
          </w:p>
        </w:tc>
        <w:tc>
          <w:tcPr>
            <w:tcW w:w="5210" w:type="dxa"/>
          </w:tcPr>
          <w:p w14:paraId="4B36689E" w14:textId="2F1955D5" w:rsidR="005B1138" w:rsidRPr="00295056" w:rsidRDefault="0031391D"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Where relevant, provisions regarding the accessibility, availability, integrity, privacy and safety of the relevant data.</w:t>
            </w:r>
          </w:p>
        </w:tc>
        <w:tc>
          <w:tcPr>
            <w:tcW w:w="1275" w:type="dxa"/>
          </w:tcPr>
          <w:p w14:paraId="01584F64" w14:textId="77777777" w:rsidR="005B1138" w:rsidRPr="00295056" w:rsidRDefault="005B1138" w:rsidP="00311051">
            <w:pPr>
              <w:rPr>
                <w:rFonts w:ascii="Calibri" w:hAnsi="Calibri" w:cs="Calibri"/>
                <w:sz w:val="24"/>
                <w:szCs w:val="24"/>
                <w:lang w:val="en-US"/>
              </w:rPr>
            </w:pPr>
          </w:p>
        </w:tc>
        <w:tc>
          <w:tcPr>
            <w:tcW w:w="1834" w:type="dxa"/>
          </w:tcPr>
          <w:p w14:paraId="33EA6893" w14:textId="77777777" w:rsidR="005B1138" w:rsidRPr="00295056" w:rsidRDefault="005B1138" w:rsidP="00311051">
            <w:pPr>
              <w:rPr>
                <w:rFonts w:ascii="Calibri" w:hAnsi="Calibri" w:cs="Calibri"/>
                <w:sz w:val="24"/>
                <w:szCs w:val="24"/>
                <w:lang w:val="en-US"/>
              </w:rPr>
            </w:pPr>
          </w:p>
        </w:tc>
        <w:tc>
          <w:tcPr>
            <w:tcW w:w="4242" w:type="dxa"/>
          </w:tcPr>
          <w:p w14:paraId="42BAA08D" w14:textId="77777777" w:rsidR="005B1138" w:rsidRPr="00295056" w:rsidRDefault="005B1138" w:rsidP="00311051">
            <w:pPr>
              <w:rPr>
                <w:rFonts w:ascii="Calibri" w:hAnsi="Calibri" w:cs="Calibri"/>
                <w:sz w:val="24"/>
                <w:szCs w:val="24"/>
                <w:lang w:val="en-US"/>
              </w:rPr>
            </w:pPr>
          </w:p>
        </w:tc>
      </w:tr>
      <w:tr w:rsidR="00295056" w:rsidRPr="009D0367" w14:paraId="7CAAC072" w14:textId="77777777" w:rsidTr="00425363">
        <w:tc>
          <w:tcPr>
            <w:tcW w:w="778" w:type="dxa"/>
          </w:tcPr>
          <w:p w14:paraId="0E69755A" w14:textId="34FA1508" w:rsidR="005B1138" w:rsidRPr="00295056" w:rsidRDefault="0031391D" w:rsidP="00311051">
            <w:pPr>
              <w:rPr>
                <w:rFonts w:ascii="Calibri" w:hAnsi="Calibri" w:cs="Calibri"/>
                <w:sz w:val="24"/>
                <w:szCs w:val="24"/>
                <w:lang w:val="en-US"/>
              </w:rPr>
            </w:pPr>
            <w:r w:rsidRPr="00295056">
              <w:rPr>
                <w:rFonts w:ascii="Calibri" w:hAnsi="Calibri" w:cs="Calibri"/>
                <w:sz w:val="24"/>
                <w:szCs w:val="24"/>
                <w:lang w:val="en-US"/>
              </w:rPr>
              <w:t>6.</w:t>
            </w:r>
          </w:p>
        </w:tc>
        <w:tc>
          <w:tcPr>
            <w:tcW w:w="5210" w:type="dxa"/>
          </w:tcPr>
          <w:p w14:paraId="7EC7B091" w14:textId="0F7E5949" w:rsidR="005B1138" w:rsidRPr="00295056" w:rsidRDefault="0031391D"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right of the (payment) institution to monitor the service provider’s performance on an ongoing basis.</w:t>
            </w:r>
          </w:p>
        </w:tc>
        <w:tc>
          <w:tcPr>
            <w:tcW w:w="1275" w:type="dxa"/>
          </w:tcPr>
          <w:p w14:paraId="4DCDB7B1" w14:textId="77777777" w:rsidR="005B1138" w:rsidRPr="00295056" w:rsidRDefault="005B1138" w:rsidP="00311051">
            <w:pPr>
              <w:rPr>
                <w:rFonts w:ascii="Calibri" w:hAnsi="Calibri" w:cs="Calibri"/>
                <w:sz w:val="24"/>
                <w:szCs w:val="24"/>
                <w:lang w:val="en-US"/>
              </w:rPr>
            </w:pPr>
          </w:p>
        </w:tc>
        <w:tc>
          <w:tcPr>
            <w:tcW w:w="1834" w:type="dxa"/>
          </w:tcPr>
          <w:p w14:paraId="680CD571" w14:textId="77777777" w:rsidR="005B1138" w:rsidRPr="00295056" w:rsidRDefault="005B1138" w:rsidP="00311051">
            <w:pPr>
              <w:rPr>
                <w:rFonts w:ascii="Calibri" w:hAnsi="Calibri" w:cs="Calibri"/>
                <w:sz w:val="24"/>
                <w:szCs w:val="24"/>
                <w:lang w:val="en-US"/>
              </w:rPr>
            </w:pPr>
          </w:p>
        </w:tc>
        <w:tc>
          <w:tcPr>
            <w:tcW w:w="4242" w:type="dxa"/>
          </w:tcPr>
          <w:p w14:paraId="4F654F94" w14:textId="77777777" w:rsidR="005B1138" w:rsidRPr="00295056" w:rsidRDefault="005B1138" w:rsidP="00311051">
            <w:pPr>
              <w:rPr>
                <w:rFonts w:ascii="Calibri" w:hAnsi="Calibri" w:cs="Calibri"/>
                <w:sz w:val="24"/>
                <w:szCs w:val="24"/>
                <w:lang w:val="en-US"/>
              </w:rPr>
            </w:pPr>
          </w:p>
        </w:tc>
      </w:tr>
      <w:tr w:rsidR="005B1138" w:rsidRPr="009D0367" w14:paraId="08A5B0A1" w14:textId="77777777" w:rsidTr="00425363">
        <w:tc>
          <w:tcPr>
            <w:tcW w:w="778" w:type="dxa"/>
          </w:tcPr>
          <w:p w14:paraId="56D7DD25" w14:textId="4EE114ED" w:rsidR="005B1138" w:rsidRPr="00295056" w:rsidRDefault="0031391D" w:rsidP="00311051">
            <w:pPr>
              <w:rPr>
                <w:rFonts w:ascii="Calibri" w:hAnsi="Calibri" w:cs="Calibri"/>
                <w:sz w:val="24"/>
                <w:szCs w:val="24"/>
                <w:lang w:val="en-US"/>
              </w:rPr>
            </w:pPr>
            <w:r w:rsidRPr="00295056">
              <w:rPr>
                <w:rFonts w:ascii="Calibri" w:hAnsi="Calibri" w:cs="Calibri"/>
                <w:sz w:val="24"/>
                <w:szCs w:val="24"/>
                <w:lang w:val="en-US"/>
              </w:rPr>
              <w:t>7.</w:t>
            </w:r>
          </w:p>
        </w:tc>
        <w:tc>
          <w:tcPr>
            <w:tcW w:w="5210" w:type="dxa"/>
          </w:tcPr>
          <w:p w14:paraId="324BBA7F" w14:textId="20564BD5" w:rsidR="005B1138" w:rsidRPr="00295056" w:rsidRDefault="005E7B51"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agreed service levels, which must include precise quantitative and qualitative performance targets for the outsourced functions</w:t>
            </w:r>
            <w:r w:rsidR="0053512C">
              <w:rPr>
                <w:rFonts w:ascii="Calibri" w:hAnsi="Calibri" w:cs="Calibri"/>
                <w:color w:val="000000"/>
                <w:sz w:val="24"/>
                <w:szCs w:val="24"/>
                <w:lang w:val="en-US"/>
              </w:rPr>
              <w:t>.</w:t>
            </w:r>
          </w:p>
        </w:tc>
        <w:tc>
          <w:tcPr>
            <w:tcW w:w="1275" w:type="dxa"/>
          </w:tcPr>
          <w:p w14:paraId="1E3E5CC0" w14:textId="77777777" w:rsidR="005B1138" w:rsidRPr="00295056" w:rsidRDefault="005B1138" w:rsidP="00311051">
            <w:pPr>
              <w:rPr>
                <w:rFonts w:ascii="Calibri" w:hAnsi="Calibri" w:cs="Calibri"/>
                <w:sz w:val="24"/>
                <w:szCs w:val="24"/>
                <w:lang w:val="en-US"/>
              </w:rPr>
            </w:pPr>
          </w:p>
        </w:tc>
        <w:tc>
          <w:tcPr>
            <w:tcW w:w="1834" w:type="dxa"/>
          </w:tcPr>
          <w:p w14:paraId="5978F795" w14:textId="77777777" w:rsidR="005B1138" w:rsidRPr="00295056" w:rsidRDefault="005B1138" w:rsidP="00311051">
            <w:pPr>
              <w:rPr>
                <w:rFonts w:ascii="Calibri" w:hAnsi="Calibri" w:cs="Calibri"/>
                <w:sz w:val="24"/>
                <w:szCs w:val="24"/>
                <w:lang w:val="en-US"/>
              </w:rPr>
            </w:pPr>
          </w:p>
        </w:tc>
        <w:tc>
          <w:tcPr>
            <w:tcW w:w="4242" w:type="dxa"/>
          </w:tcPr>
          <w:p w14:paraId="10BEF40F" w14:textId="77777777" w:rsidR="005B1138" w:rsidRPr="00295056" w:rsidRDefault="005B1138" w:rsidP="00311051">
            <w:pPr>
              <w:rPr>
                <w:rFonts w:ascii="Calibri" w:hAnsi="Calibri" w:cs="Calibri"/>
                <w:sz w:val="24"/>
                <w:szCs w:val="24"/>
                <w:lang w:val="en-US"/>
              </w:rPr>
            </w:pPr>
          </w:p>
        </w:tc>
      </w:tr>
      <w:tr w:rsidR="005B1138" w:rsidRPr="009D0367" w14:paraId="7BD61E6D" w14:textId="77777777" w:rsidTr="00425363">
        <w:tc>
          <w:tcPr>
            <w:tcW w:w="778" w:type="dxa"/>
          </w:tcPr>
          <w:p w14:paraId="3C8DCA5F" w14:textId="269DDBBB" w:rsidR="005B1138" w:rsidRPr="00295056" w:rsidRDefault="005E7B51" w:rsidP="00311051">
            <w:pPr>
              <w:rPr>
                <w:rFonts w:ascii="Calibri" w:hAnsi="Calibri" w:cs="Calibri"/>
                <w:sz w:val="24"/>
                <w:szCs w:val="24"/>
                <w:lang w:val="en-US"/>
              </w:rPr>
            </w:pPr>
            <w:r w:rsidRPr="00295056">
              <w:rPr>
                <w:rFonts w:ascii="Calibri" w:hAnsi="Calibri" w:cs="Calibri"/>
                <w:sz w:val="24"/>
                <w:szCs w:val="24"/>
                <w:lang w:val="en-US"/>
              </w:rPr>
              <w:t>8.</w:t>
            </w:r>
          </w:p>
        </w:tc>
        <w:tc>
          <w:tcPr>
            <w:tcW w:w="5210" w:type="dxa"/>
          </w:tcPr>
          <w:p w14:paraId="26996279" w14:textId="29A7F96E" w:rsidR="005B1138" w:rsidRPr="00295056" w:rsidRDefault="005E7B51"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reporting obligations of the service provider to the (payment) institution</w:t>
            </w:r>
            <w:r w:rsidR="0053512C">
              <w:rPr>
                <w:rFonts w:ascii="Calibri" w:hAnsi="Calibri" w:cs="Calibri"/>
                <w:color w:val="000000"/>
                <w:sz w:val="24"/>
                <w:szCs w:val="24"/>
                <w:lang w:val="en-US"/>
              </w:rPr>
              <w:t>.</w:t>
            </w:r>
          </w:p>
        </w:tc>
        <w:tc>
          <w:tcPr>
            <w:tcW w:w="1275" w:type="dxa"/>
          </w:tcPr>
          <w:p w14:paraId="65638C21" w14:textId="77777777" w:rsidR="005B1138" w:rsidRPr="00295056" w:rsidRDefault="005B1138" w:rsidP="00311051">
            <w:pPr>
              <w:rPr>
                <w:rFonts w:ascii="Calibri" w:hAnsi="Calibri" w:cs="Calibri"/>
                <w:sz w:val="24"/>
                <w:szCs w:val="24"/>
                <w:lang w:val="en-US"/>
              </w:rPr>
            </w:pPr>
          </w:p>
        </w:tc>
        <w:tc>
          <w:tcPr>
            <w:tcW w:w="1834" w:type="dxa"/>
          </w:tcPr>
          <w:p w14:paraId="3703B577" w14:textId="77777777" w:rsidR="005B1138" w:rsidRPr="00295056" w:rsidRDefault="005B1138" w:rsidP="00311051">
            <w:pPr>
              <w:rPr>
                <w:rFonts w:ascii="Calibri" w:hAnsi="Calibri" w:cs="Calibri"/>
                <w:sz w:val="24"/>
                <w:szCs w:val="24"/>
                <w:lang w:val="en-US"/>
              </w:rPr>
            </w:pPr>
          </w:p>
        </w:tc>
        <w:tc>
          <w:tcPr>
            <w:tcW w:w="4242" w:type="dxa"/>
          </w:tcPr>
          <w:p w14:paraId="24556A27" w14:textId="77777777" w:rsidR="005B1138" w:rsidRPr="00295056" w:rsidRDefault="005B1138" w:rsidP="00311051">
            <w:pPr>
              <w:rPr>
                <w:rFonts w:ascii="Calibri" w:hAnsi="Calibri" w:cs="Calibri"/>
                <w:sz w:val="24"/>
                <w:szCs w:val="24"/>
                <w:lang w:val="en-US"/>
              </w:rPr>
            </w:pPr>
          </w:p>
        </w:tc>
      </w:tr>
      <w:tr w:rsidR="005B1138" w:rsidRPr="009D0367" w14:paraId="34E8FB38" w14:textId="77777777" w:rsidTr="00425363">
        <w:tc>
          <w:tcPr>
            <w:tcW w:w="778" w:type="dxa"/>
          </w:tcPr>
          <w:p w14:paraId="5D80127A" w14:textId="219491F7" w:rsidR="005B1138" w:rsidRPr="00295056" w:rsidRDefault="005E7B51" w:rsidP="00311051">
            <w:pPr>
              <w:rPr>
                <w:rFonts w:ascii="Calibri" w:hAnsi="Calibri" w:cs="Calibri"/>
                <w:sz w:val="24"/>
                <w:szCs w:val="24"/>
                <w:lang w:val="en-US"/>
              </w:rPr>
            </w:pPr>
            <w:r w:rsidRPr="00295056">
              <w:rPr>
                <w:rFonts w:ascii="Calibri" w:hAnsi="Calibri" w:cs="Calibri"/>
                <w:sz w:val="24"/>
                <w:szCs w:val="24"/>
                <w:lang w:val="en-US"/>
              </w:rPr>
              <w:t>9.</w:t>
            </w:r>
          </w:p>
        </w:tc>
        <w:tc>
          <w:tcPr>
            <w:tcW w:w="5210" w:type="dxa"/>
          </w:tcPr>
          <w:p w14:paraId="1551C2F1" w14:textId="2C18BCA4" w:rsidR="005B1138" w:rsidRPr="00295056" w:rsidRDefault="00BA7790"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Whether the service provider should take mandatory insurance against certain risks and, if applicable, the level of insurance cover requested</w:t>
            </w:r>
            <w:r w:rsidR="0053512C">
              <w:rPr>
                <w:rFonts w:ascii="Calibri" w:hAnsi="Calibri" w:cs="Calibri"/>
                <w:color w:val="000000"/>
                <w:sz w:val="24"/>
                <w:szCs w:val="24"/>
                <w:lang w:val="en-US"/>
              </w:rPr>
              <w:t>.</w:t>
            </w:r>
          </w:p>
        </w:tc>
        <w:tc>
          <w:tcPr>
            <w:tcW w:w="1275" w:type="dxa"/>
          </w:tcPr>
          <w:p w14:paraId="7CB04B3F" w14:textId="77777777" w:rsidR="005B1138" w:rsidRPr="00295056" w:rsidRDefault="005B1138" w:rsidP="00311051">
            <w:pPr>
              <w:rPr>
                <w:rFonts w:ascii="Calibri" w:hAnsi="Calibri" w:cs="Calibri"/>
                <w:sz w:val="24"/>
                <w:szCs w:val="24"/>
                <w:lang w:val="en-US"/>
              </w:rPr>
            </w:pPr>
          </w:p>
        </w:tc>
        <w:tc>
          <w:tcPr>
            <w:tcW w:w="1834" w:type="dxa"/>
          </w:tcPr>
          <w:p w14:paraId="1243BCD4" w14:textId="77777777" w:rsidR="005B1138" w:rsidRPr="00295056" w:rsidRDefault="005B1138" w:rsidP="00311051">
            <w:pPr>
              <w:rPr>
                <w:rFonts w:ascii="Calibri" w:hAnsi="Calibri" w:cs="Calibri"/>
                <w:sz w:val="24"/>
                <w:szCs w:val="24"/>
                <w:lang w:val="en-US"/>
              </w:rPr>
            </w:pPr>
          </w:p>
        </w:tc>
        <w:tc>
          <w:tcPr>
            <w:tcW w:w="4242" w:type="dxa"/>
          </w:tcPr>
          <w:p w14:paraId="4BAFDE1E" w14:textId="77777777" w:rsidR="005B1138" w:rsidRPr="00295056" w:rsidRDefault="005B1138" w:rsidP="00311051">
            <w:pPr>
              <w:rPr>
                <w:rFonts w:ascii="Calibri" w:hAnsi="Calibri" w:cs="Calibri"/>
                <w:sz w:val="24"/>
                <w:szCs w:val="24"/>
                <w:lang w:val="en-US"/>
              </w:rPr>
            </w:pPr>
          </w:p>
        </w:tc>
      </w:tr>
      <w:tr w:rsidR="005B1138" w:rsidRPr="009D0367" w14:paraId="173BE0EC" w14:textId="77777777" w:rsidTr="00425363">
        <w:tc>
          <w:tcPr>
            <w:tcW w:w="778" w:type="dxa"/>
          </w:tcPr>
          <w:p w14:paraId="00EF3173" w14:textId="7EDE3D09" w:rsidR="005B1138" w:rsidRPr="00295056" w:rsidRDefault="00BA7790" w:rsidP="00311051">
            <w:pPr>
              <w:rPr>
                <w:rFonts w:ascii="Calibri" w:hAnsi="Calibri" w:cs="Calibri"/>
                <w:sz w:val="24"/>
                <w:szCs w:val="24"/>
                <w:lang w:val="en-US"/>
              </w:rPr>
            </w:pPr>
            <w:r w:rsidRPr="00295056">
              <w:rPr>
                <w:rFonts w:ascii="Calibri" w:hAnsi="Calibri" w:cs="Calibri"/>
                <w:sz w:val="24"/>
                <w:szCs w:val="24"/>
                <w:lang w:val="en-US"/>
              </w:rPr>
              <w:t>10.</w:t>
            </w:r>
          </w:p>
        </w:tc>
        <w:tc>
          <w:tcPr>
            <w:tcW w:w="5210" w:type="dxa"/>
          </w:tcPr>
          <w:p w14:paraId="7348A685" w14:textId="4C09A496" w:rsidR="005B1138" w:rsidRPr="00295056" w:rsidRDefault="00BA7790"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requirements to implement and test business contingency plans</w:t>
            </w:r>
            <w:r w:rsidR="0053512C">
              <w:rPr>
                <w:rFonts w:ascii="Calibri" w:hAnsi="Calibri" w:cs="Calibri"/>
                <w:color w:val="000000"/>
                <w:sz w:val="24"/>
                <w:szCs w:val="24"/>
                <w:lang w:val="en-US"/>
              </w:rPr>
              <w:t>.</w:t>
            </w:r>
          </w:p>
        </w:tc>
        <w:tc>
          <w:tcPr>
            <w:tcW w:w="1275" w:type="dxa"/>
          </w:tcPr>
          <w:p w14:paraId="452940CA" w14:textId="77777777" w:rsidR="005B1138" w:rsidRPr="00295056" w:rsidRDefault="005B1138" w:rsidP="00311051">
            <w:pPr>
              <w:rPr>
                <w:rFonts w:ascii="Calibri" w:hAnsi="Calibri" w:cs="Calibri"/>
                <w:sz w:val="24"/>
                <w:szCs w:val="24"/>
                <w:lang w:val="en-US"/>
              </w:rPr>
            </w:pPr>
          </w:p>
        </w:tc>
        <w:tc>
          <w:tcPr>
            <w:tcW w:w="1834" w:type="dxa"/>
          </w:tcPr>
          <w:p w14:paraId="5AA77028" w14:textId="77777777" w:rsidR="005B1138" w:rsidRPr="00295056" w:rsidRDefault="005B1138" w:rsidP="00311051">
            <w:pPr>
              <w:rPr>
                <w:rFonts w:ascii="Calibri" w:hAnsi="Calibri" w:cs="Calibri"/>
                <w:sz w:val="24"/>
                <w:szCs w:val="24"/>
                <w:lang w:val="en-US"/>
              </w:rPr>
            </w:pPr>
          </w:p>
        </w:tc>
        <w:tc>
          <w:tcPr>
            <w:tcW w:w="4242" w:type="dxa"/>
          </w:tcPr>
          <w:p w14:paraId="64868226" w14:textId="77777777" w:rsidR="005B1138" w:rsidRPr="00295056" w:rsidRDefault="005B1138" w:rsidP="00311051">
            <w:pPr>
              <w:rPr>
                <w:rFonts w:ascii="Calibri" w:hAnsi="Calibri" w:cs="Calibri"/>
                <w:sz w:val="24"/>
                <w:szCs w:val="24"/>
                <w:lang w:val="en-US"/>
              </w:rPr>
            </w:pPr>
          </w:p>
        </w:tc>
      </w:tr>
      <w:tr w:rsidR="005B1138" w:rsidRPr="009D0367" w14:paraId="5C90D8A1" w14:textId="77777777" w:rsidTr="00425363">
        <w:tc>
          <w:tcPr>
            <w:tcW w:w="778" w:type="dxa"/>
          </w:tcPr>
          <w:p w14:paraId="30C5EDC9" w14:textId="6924B9E4" w:rsidR="005B1138" w:rsidRPr="00295056" w:rsidRDefault="00BA7790" w:rsidP="00311051">
            <w:pPr>
              <w:rPr>
                <w:rFonts w:ascii="Calibri" w:hAnsi="Calibri" w:cs="Calibri"/>
                <w:sz w:val="24"/>
                <w:szCs w:val="24"/>
                <w:lang w:val="en-US"/>
              </w:rPr>
            </w:pPr>
            <w:r w:rsidRPr="00295056">
              <w:rPr>
                <w:rFonts w:ascii="Calibri" w:hAnsi="Calibri" w:cs="Calibri"/>
                <w:sz w:val="24"/>
                <w:szCs w:val="24"/>
                <w:lang w:val="en-US"/>
              </w:rPr>
              <w:t>11.</w:t>
            </w:r>
          </w:p>
        </w:tc>
        <w:tc>
          <w:tcPr>
            <w:tcW w:w="5210" w:type="dxa"/>
          </w:tcPr>
          <w:p w14:paraId="34400652" w14:textId="28FBF37F" w:rsidR="005B1138" w:rsidRPr="00295056" w:rsidRDefault="005C3F1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Provisions that ensure that the data that are owned by the (payment) institution can be accessed in the case of the insolvency, resolution or discontinuation of business operations of the service provider</w:t>
            </w:r>
            <w:r w:rsidR="0053512C">
              <w:rPr>
                <w:rFonts w:ascii="Calibri" w:hAnsi="Calibri" w:cs="Calibri"/>
                <w:color w:val="000000"/>
                <w:sz w:val="24"/>
                <w:szCs w:val="24"/>
                <w:lang w:val="en-US"/>
              </w:rPr>
              <w:t>.</w:t>
            </w:r>
          </w:p>
        </w:tc>
        <w:tc>
          <w:tcPr>
            <w:tcW w:w="1275" w:type="dxa"/>
          </w:tcPr>
          <w:p w14:paraId="173F4A83" w14:textId="77777777" w:rsidR="005B1138" w:rsidRPr="00295056" w:rsidRDefault="005B1138" w:rsidP="00311051">
            <w:pPr>
              <w:rPr>
                <w:rFonts w:ascii="Calibri" w:hAnsi="Calibri" w:cs="Calibri"/>
                <w:sz w:val="24"/>
                <w:szCs w:val="24"/>
                <w:lang w:val="en-US"/>
              </w:rPr>
            </w:pPr>
          </w:p>
        </w:tc>
        <w:tc>
          <w:tcPr>
            <w:tcW w:w="1834" w:type="dxa"/>
          </w:tcPr>
          <w:p w14:paraId="721A4B71" w14:textId="77777777" w:rsidR="005B1138" w:rsidRPr="00295056" w:rsidRDefault="005B1138" w:rsidP="00311051">
            <w:pPr>
              <w:rPr>
                <w:rFonts w:ascii="Calibri" w:hAnsi="Calibri" w:cs="Calibri"/>
                <w:sz w:val="24"/>
                <w:szCs w:val="24"/>
                <w:lang w:val="en-US"/>
              </w:rPr>
            </w:pPr>
          </w:p>
        </w:tc>
        <w:tc>
          <w:tcPr>
            <w:tcW w:w="4242" w:type="dxa"/>
          </w:tcPr>
          <w:p w14:paraId="75CD35AB" w14:textId="77777777" w:rsidR="005B1138" w:rsidRPr="00295056" w:rsidRDefault="005B1138" w:rsidP="00311051">
            <w:pPr>
              <w:rPr>
                <w:rFonts w:ascii="Calibri" w:hAnsi="Calibri" w:cs="Calibri"/>
                <w:sz w:val="24"/>
                <w:szCs w:val="24"/>
                <w:lang w:val="en-US"/>
              </w:rPr>
            </w:pPr>
          </w:p>
        </w:tc>
      </w:tr>
      <w:tr w:rsidR="005B1138" w:rsidRPr="009D0367" w14:paraId="6392DD8C" w14:textId="77777777" w:rsidTr="00425363">
        <w:tc>
          <w:tcPr>
            <w:tcW w:w="778" w:type="dxa"/>
          </w:tcPr>
          <w:p w14:paraId="242AAA58" w14:textId="33EBE26E" w:rsidR="005B1138" w:rsidRPr="00295056" w:rsidRDefault="005C3F13" w:rsidP="00311051">
            <w:pPr>
              <w:rPr>
                <w:rFonts w:ascii="Calibri" w:hAnsi="Calibri" w:cs="Calibri"/>
                <w:sz w:val="24"/>
                <w:szCs w:val="24"/>
                <w:lang w:val="en-US"/>
              </w:rPr>
            </w:pPr>
            <w:r w:rsidRPr="00295056">
              <w:rPr>
                <w:rFonts w:ascii="Calibri" w:hAnsi="Calibri" w:cs="Calibri"/>
                <w:sz w:val="24"/>
                <w:szCs w:val="24"/>
                <w:lang w:val="en-US"/>
              </w:rPr>
              <w:lastRenderedPageBreak/>
              <w:t>12.</w:t>
            </w:r>
          </w:p>
        </w:tc>
        <w:tc>
          <w:tcPr>
            <w:tcW w:w="5210" w:type="dxa"/>
          </w:tcPr>
          <w:p w14:paraId="13D5AB4B" w14:textId="64B92347" w:rsidR="005B1138" w:rsidRPr="00295056" w:rsidRDefault="005C3F1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obligation of the service provider to cooperate with the competent authorities and resolution authorities of the (payment) institution, including other persons appointed by them</w:t>
            </w:r>
            <w:r w:rsidR="0053512C">
              <w:rPr>
                <w:rFonts w:ascii="Calibri" w:hAnsi="Calibri" w:cs="Calibri"/>
                <w:color w:val="000000"/>
                <w:sz w:val="24"/>
                <w:szCs w:val="24"/>
                <w:lang w:val="en-US"/>
              </w:rPr>
              <w:t>.</w:t>
            </w:r>
          </w:p>
        </w:tc>
        <w:tc>
          <w:tcPr>
            <w:tcW w:w="1275" w:type="dxa"/>
          </w:tcPr>
          <w:p w14:paraId="07190E01" w14:textId="77777777" w:rsidR="005B1138" w:rsidRPr="00295056" w:rsidRDefault="005B1138" w:rsidP="00311051">
            <w:pPr>
              <w:rPr>
                <w:rFonts w:ascii="Calibri" w:hAnsi="Calibri" w:cs="Calibri"/>
                <w:sz w:val="24"/>
                <w:szCs w:val="24"/>
                <w:lang w:val="en-US"/>
              </w:rPr>
            </w:pPr>
          </w:p>
        </w:tc>
        <w:tc>
          <w:tcPr>
            <w:tcW w:w="1834" w:type="dxa"/>
          </w:tcPr>
          <w:p w14:paraId="673AE0DA" w14:textId="77777777" w:rsidR="005B1138" w:rsidRPr="00295056" w:rsidRDefault="005B1138" w:rsidP="00311051">
            <w:pPr>
              <w:rPr>
                <w:rFonts w:ascii="Calibri" w:hAnsi="Calibri" w:cs="Calibri"/>
                <w:sz w:val="24"/>
                <w:szCs w:val="24"/>
                <w:lang w:val="en-US"/>
              </w:rPr>
            </w:pPr>
          </w:p>
        </w:tc>
        <w:tc>
          <w:tcPr>
            <w:tcW w:w="4242" w:type="dxa"/>
          </w:tcPr>
          <w:p w14:paraId="58D0F6A4" w14:textId="77777777" w:rsidR="005B1138" w:rsidRPr="00295056" w:rsidRDefault="005B1138" w:rsidP="00311051">
            <w:pPr>
              <w:rPr>
                <w:rFonts w:ascii="Calibri" w:hAnsi="Calibri" w:cs="Calibri"/>
                <w:sz w:val="24"/>
                <w:szCs w:val="24"/>
                <w:lang w:val="en-US"/>
              </w:rPr>
            </w:pPr>
          </w:p>
        </w:tc>
      </w:tr>
      <w:tr w:rsidR="005B1138" w:rsidRPr="009D0367" w14:paraId="0E0D3372" w14:textId="77777777" w:rsidTr="00425363">
        <w:tc>
          <w:tcPr>
            <w:tcW w:w="778" w:type="dxa"/>
          </w:tcPr>
          <w:p w14:paraId="53314EDB" w14:textId="299DB9FC" w:rsidR="005B1138" w:rsidRPr="00295056" w:rsidRDefault="005C3F13" w:rsidP="00311051">
            <w:pPr>
              <w:rPr>
                <w:rFonts w:ascii="Calibri" w:hAnsi="Calibri" w:cs="Calibri"/>
                <w:sz w:val="24"/>
                <w:szCs w:val="24"/>
                <w:lang w:val="en-US"/>
              </w:rPr>
            </w:pPr>
            <w:r w:rsidRPr="00295056">
              <w:rPr>
                <w:rFonts w:ascii="Calibri" w:hAnsi="Calibri" w:cs="Calibri"/>
                <w:sz w:val="24"/>
                <w:szCs w:val="24"/>
                <w:lang w:val="en-US"/>
              </w:rPr>
              <w:t>13.</w:t>
            </w:r>
          </w:p>
        </w:tc>
        <w:tc>
          <w:tcPr>
            <w:tcW w:w="5210" w:type="dxa"/>
          </w:tcPr>
          <w:p w14:paraId="25AAF9FB" w14:textId="2D8B5A53" w:rsidR="005B1138" w:rsidRPr="00295056" w:rsidRDefault="00744387"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For institutions, a clear reference to the national resolution authority’s powers, especially to Articles 68 and 71 of Directive 2014/59/EU (BRRD), and in particular a description of the ‘substantive obligations’ of the contract in the sense of Article 68 of that Directive</w:t>
            </w:r>
            <w:r w:rsidR="0053512C">
              <w:rPr>
                <w:rFonts w:ascii="Calibri" w:hAnsi="Calibri" w:cs="Calibri"/>
                <w:color w:val="000000"/>
                <w:sz w:val="24"/>
                <w:szCs w:val="24"/>
                <w:lang w:val="en-US"/>
              </w:rPr>
              <w:t>.</w:t>
            </w:r>
          </w:p>
        </w:tc>
        <w:tc>
          <w:tcPr>
            <w:tcW w:w="1275" w:type="dxa"/>
          </w:tcPr>
          <w:p w14:paraId="2B44E488" w14:textId="77777777" w:rsidR="005B1138" w:rsidRPr="00295056" w:rsidRDefault="005B1138" w:rsidP="00311051">
            <w:pPr>
              <w:rPr>
                <w:rFonts w:ascii="Calibri" w:hAnsi="Calibri" w:cs="Calibri"/>
                <w:sz w:val="24"/>
                <w:szCs w:val="24"/>
                <w:lang w:val="en-US"/>
              </w:rPr>
            </w:pPr>
          </w:p>
        </w:tc>
        <w:tc>
          <w:tcPr>
            <w:tcW w:w="1834" w:type="dxa"/>
          </w:tcPr>
          <w:p w14:paraId="0D0000CA" w14:textId="77777777" w:rsidR="005B1138" w:rsidRPr="00295056" w:rsidRDefault="005B1138" w:rsidP="00311051">
            <w:pPr>
              <w:rPr>
                <w:rFonts w:ascii="Calibri" w:hAnsi="Calibri" w:cs="Calibri"/>
                <w:sz w:val="24"/>
                <w:szCs w:val="24"/>
                <w:lang w:val="en-US"/>
              </w:rPr>
            </w:pPr>
          </w:p>
        </w:tc>
        <w:tc>
          <w:tcPr>
            <w:tcW w:w="4242" w:type="dxa"/>
          </w:tcPr>
          <w:p w14:paraId="542AEE84" w14:textId="77777777" w:rsidR="005B1138" w:rsidRPr="00295056" w:rsidRDefault="005B1138" w:rsidP="00311051">
            <w:pPr>
              <w:rPr>
                <w:rFonts w:ascii="Calibri" w:hAnsi="Calibri" w:cs="Calibri"/>
                <w:sz w:val="24"/>
                <w:szCs w:val="24"/>
                <w:lang w:val="en-US"/>
              </w:rPr>
            </w:pPr>
          </w:p>
        </w:tc>
      </w:tr>
      <w:tr w:rsidR="005B1138" w:rsidRPr="009D0367" w14:paraId="772B1AC2" w14:textId="77777777" w:rsidTr="00425363">
        <w:tc>
          <w:tcPr>
            <w:tcW w:w="778" w:type="dxa"/>
          </w:tcPr>
          <w:p w14:paraId="37CF4411" w14:textId="24BCEF3C" w:rsidR="005B1138" w:rsidRPr="00295056" w:rsidRDefault="00744387" w:rsidP="00311051">
            <w:pPr>
              <w:rPr>
                <w:rFonts w:ascii="Calibri" w:hAnsi="Calibri" w:cs="Calibri"/>
                <w:sz w:val="24"/>
                <w:szCs w:val="24"/>
                <w:lang w:val="en-US"/>
              </w:rPr>
            </w:pPr>
            <w:r w:rsidRPr="00295056">
              <w:rPr>
                <w:rFonts w:ascii="Calibri" w:hAnsi="Calibri" w:cs="Calibri"/>
                <w:sz w:val="24"/>
                <w:szCs w:val="24"/>
                <w:lang w:val="en-US"/>
              </w:rPr>
              <w:t>14.</w:t>
            </w:r>
          </w:p>
        </w:tc>
        <w:tc>
          <w:tcPr>
            <w:tcW w:w="5210" w:type="dxa"/>
          </w:tcPr>
          <w:p w14:paraId="257306AF" w14:textId="5614DB79" w:rsidR="005B1138" w:rsidRPr="00295056" w:rsidRDefault="00CF05E0"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unrestricted right of (payment) institutions and competent authorities to inspect and audit the service provider with regard to, in particular, the critical or important outsourced function, including a contractual right of access and audit to the (payment) institution and its competent authorities</w:t>
            </w:r>
            <w:r w:rsidR="0053512C">
              <w:rPr>
                <w:rFonts w:ascii="Calibri" w:hAnsi="Calibri" w:cs="Calibri"/>
                <w:color w:val="000000"/>
                <w:sz w:val="24"/>
                <w:szCs w:val="24"/>
                <w:lang w:val="en-US"/>
              </w:rPr>
              <w:t>.</w:t>
            </w:r>
          </w:p>
        </w:tc>
        <w:tc>
          <w:tcPr>
            <w:tcW w:w="1275" w:type="dxa"/>
          </w:tcPr>
          <w:p w14:paraId="48D43E7E" w14:textId="77777777" w:rsidR="005B1138" w:rsidRPr="00295056" w:rsidRDefault="005B1138" w:rsidP="00311051">
            <w:pPr>
              <w:rPr>
                <w:rFonts w:ascii="Calibri" w:hAnsi="Calibri" w:cs="Calibri"/>
                <w:sz w:val="24"/>
                <w:szCs w:val="24"/>
                <w:lang w:val="en-US"/>
              </w:rPr>
            </w:pPr>
          </w:p>
        </w:tc>
        <w:tc>
          <w:tcPr>
            <w:tcW w:w="1834" w:type="dxa"/>
          </w:tcPr>
          <w:p w14:paraId="116E363A" w14:textId="77777777" w:rsidR="005B1138" w:rsidRPr="00295056" w:rsidRDefault="005B1138" w:rsidP="00311051">
            <w:pPr>
              <w:rPr>
                <w:rFonts w:ascii="Calibri" w:hAnsi="Calibri" w:cs="Calibri"/>
                <w:sz w:val="24"/>
                <w:szCs w:val="24"/>
                <w:lang w:val="en-US"/>
              </w:rPr>
            </w:pPr>
          </w:p>
        </w:tc>
        <w:tc>
          <w:tcPr>
            <w:tcW w:w="4242" w:type="dxa"/>
          </w:tcPr>
          <w:p w14:paraId="4C23095D" w14:textId="77777777" w:rsidR="005B1138" w:rsidRPr="00295056" w:rsidRDefault="005B1138" w:rsidP="00311051">
            <w:pPr>
              <w:rPr>
                <w:rFonts w:ascii="Calibri" w:hAnsi="Calibri" w:cs="Calibri"/>
                <w:sz w:val="24"/>
                <w:szCs w:val="24"/>
                <w:lang w:val="en-US"/>
              </w:rPr>
            </w:pPr>
          </w:p>
        </w:tc>
      </w:tr>
      <w:tr w:rsidR="005B1138" w:rsidRPr="009D0367" w14:paraId="0338354C" w14:textId="77777777" w:rsidTr="00425363">
        <w:tc>
          <w:tcPr>
            <w:tcW w:w="778" w:type="dxa"/>
          </w:tcPr>
          <w:p w14:paraId="4A9D8730" w14:textId="6B82506B" w:rsidR="005B1138" w:rsidRPr="00295056" w:rsidRDefault="00EC01B5" w:rsidP="00311051">
            <w:pPr>
              <w:rPr>
                <w:rFonts w:ascii="Calibri" w:hAnsi="Calibri" w:cs="Calibri"/>
                <w:sz w:val="24"/>
                <w:szCs w:val="24"/>
                <w:lang w:val="en-US"/>
              </w:rPr>
            </w:pPr>
            <w:r w:rsidRPr="00295056">
              <w:rPr>
                <w:rFonts w:ascii="Calibri" w:hAnsi="Calibri" w:cs="Calibri"/>
                <w:sz w:val="24"/>
                <w:szCs w:val="24"/>
                <w:lang w:val="en-US"/>
              </w:rPr>
              <w:t>15.</w:t>
            </w:r>
          </w:p>
        </w:tc>
        <w:tc>
          <w:tcPr>
            <w:tcW w:w="5210" w:type="dxa"/>
          </w:tcPr>
          <w:p w14:paraId="18582A83" w14:textId="0F99AD85" w:rsidR="005B1138" w:rsidRPr="00295056" w:rsidRDefault="00965DCD"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w:t>
            </w:r>
            <w:r w:rsidR="00EC01B5" w:rsidRPr="00295056">
              <w:rPr>
                <w:rFonts w:ascii="Calibri" w:hAnsi="Calibri" w:cs="Calibri"/>
                <w:color w:val="000000"/>
                <w:sz w:val="24"/>
                <w:szCs w:val="24"/>
                <w:lang w:val="en-US"/>
              </w:rPr>
              <w:t>ermination rights, which should apply at least in the following situations:</w:t>
            </w:r>
          </w:p>
        </w:tc>
        <w:tc>
          <w:tcPr>
            <w:tcW w:w="1275" w:type="dxa"/>
          </w:tcPr>
          <w:p w14:paraId="0963908D" w14:textId="77777777" w:rsidR="005B1138" w:rsidRPr="00295056" w:rsidRDefault="005B1138" w:rsidP="00311051">
            <w:pPr>
              <w:rPr>
                <w:rFonts w:ascii="Calibri" w:hAnsi="Calibri" w:cs="Calibri"/>
                <w:sz w:val="24"/>
                <w:szCs w:val="24"/>
                <w:lang w:val="en-US"/>
              </w:rPr>
            </w:pPr>
          </w:p>
        </w:tc>
        <w:tc>
          <w:tcPr>
            <w:tcW w:w="1834" w:type="dxa"/>
          </w:tcPr>
          <w:p w14:paraId="4BAD2419" w14:textId="77777777" w:rsidR="005B1138" w:rsidRPr="00295056" w:rsidRDefault="005B1138" w:rsidP="00311051">
            <w:pPr>
              <w:rPr>
                <w:rFonts w:ascii="Calibri" w:hAnsi="Calibri" w:cs="Calibri"/>
                <w:sz w:val="24"/>
                <w:szCs w:val="24"/>
                <w:lang w:val="en-US"/>
              </w:rPr>
            </w:pPr>
          </w:p>
        </w:tc>
        <w:tc>
          <w:tcPr>
            <w:tcW w:w="4242" w:type="dxa"/>
          </w:tcPr>
          <w:p w14:paraId="4C4EB9BC" w14:textId="77777777" w:rsidR="005B1138" w:rsidRPr="00295056" w:rsidRDefault="005B1138" w:rsidP="00311051">
            <w:pPr>
              <w:rPr>
                <w:rFonts w:ascii="Calibri" w:hAnsi="Calibri" w:cs="Calibri"/>
                <w:sz w:val="24"/>
                <w:szCs w:val="24"/>
                <w:lang w:val="en-US"/>
              </w:rPr>
            </w:pPr>
          </w:p>
        </w:tc>
      </w:tr>
      <w:tr w:rsidR="005B1138" w:rsidRPr="009D0367" w14:paraId="1B88159A" w14:textId="77777777" w:rsidTr="00425363">
        <w:tc>
          <w:tcPr>
            <w:tcW w:w="778" w:type="dxa"/>
          </w:tcPr>
          <w:p w14:paraId="3DBDE0DE" w14:textId="348513A7" w:rsidR="005B1138" w:rsidRPr="00295056" w:rsidRDefault="00EC01B5" w:rsidP="00311051">
            <w:pPr>
              <w:rPr>
                <w:rFonts w:ascii="Calibri" w:hAnsi="Calibri" w:cs="Calibri"/>
                <w:sz w:val="24"/>
                <w:szCs w:val="24"/>
                <w:lang w:val="en-US"/>
              </w:rPr>
            </w:pPr>
            <w:r w:rsidRPr="00295056">
              <w:rPr>
                <w:rFonts w:ascii="Calibri" w:hAnsi="Calibri" w:cs="Calibri"/>
                <w:sz w:val="24"/>
                <w:szCs w:val="24"/>
                <w:lang w:val="en-US"/>
              </w:rPr>
              <w:t>15a.</w:t>
            </w:r>
          </w:p>
        </w:tc>
        <w:tc>
          <w:tcPr>
            <w:tcW w:w="5210" w:type="dxa"/>
          </w:tcPr>
          <w:p w14:paraId="38686A8F" w14:textId="3D6B8A29" w:rsidR="005B1138" w:rsidRPr="00295056" w:rsidRDefault="00352C9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where the service provider is in a breach of applicable law, regulations or contractual provisions;</w:t>
            </w:r>
          </w:p>
        </w:tc>
        <w:tc>
          <w:tcPr>
            <w:tcW w:w="1275" w:type="dxa"/>
          </w:tcPr>
          <w:p w14:paraId="18CCB57C" w14:textId="77777777" w:rsidR="005B1138" w:rsidRPr="00295056" w:rsidRDefault="005B1138" w:rsidP="00311051">
            <w:pPr>
              <w:rPr>
                <w:rFonts w:ascii="Calibri" w:hAnsi="Calibri" w:cs="Calibri"/>
                <w:sz w:val="24"/>
                <w:szCs w:val="24"/>
                <w:lang w:val="en-US"/>
              </w:rPr>
            </w:pPr>
          </w:p>
        </w:tc>
        <w:tc>
          <w:tcPr>
            <w:tcW w:w="1834" w:type="dxa"/>
          </w:tcPr>
          <w:p w14:paraId="005B1F1B" w14:textId="77777777" w:rsidR="005B1138" w:rsidRPr="00295056" w:rsidRDefault="005B1138" w:rsidP="00311051">
            <w:pPr>
              <w:rPr>
                <w:rFonts w:ascii="Calibri" w:hAnsi="Calibri" w:cs="Calibri"/>
                <w:sz w:val="24"/>
                <w:szCs w:val="24"/>
                <w:lang w:val="en-US"/>
              </w:rPr>
            </w:pPr>
          </w:p>
        </w:tc>
        <w:tc>
          <w:tcPr>
            <w:tcW w:w="4242" w:type="dxa"/>
          </w:tcPr>
          <w:p w14:paraId="42C5061B" w14:textId="77777777" w:rsidR="005B1138" w:rsidRPr="00295056" w:rsidRDefault="005B1138" w:rsidP="00311051">
            <w:pPr>
              <w:rPr>
                <w:rFonts w:ascii="Calibri" w:hAnsi="Calibri" w:cs="Calibri"/>
                <w:sz w:val="24"/>
                <w:szCs w:val="24"/>
                <w:lang w:val="en-US"/>
              </w:rPr>
            </w:pPr>
          </w:p>
        </w:tc>
      </w:tr>
      <w:tr w:rsidR="00EC01B5" w:rsidRPr="009D0367" w14:paraId="0B0F3907" w14:textId="77777777" w:rsidTr="00425363">
        <w:tc>
          <w:tcPr>
            <w:tcW w:w="778" w:type="dxa"/>
          </w:tcPr>
          <w:p w14:paraId="09C05AAC" w14:textId="522FC8D8" w:rsidR="00EC01B5" w:rsidRPr="00295056" w:rsidRDefault="00EC01B5" w:rsidP="00311051">
            <w:pPr>
              <w:rPr>
                <w:rFonts w:ascii="Calibri" w:hAnsi="Calibri" w:cs="Calibri"/>
                <w:sz w:val="24"/>
                <w:szCs w:val="24"/>
                <w:lang w:val="en-US"/>
              </w:rPr>
            </w:pPr>
            <w:r w:rsidRPr="00295056">
              <w:rPr>
                <w:rFonts w:ascii="Calibri" w:hAnsi="Calibri" w:cs="Calibri"/>
                <w:sz w:val="24"/>
                <w:szCs w:val="24"/>
                <w:lang w:val="en-US"/>
              </w:rPr>
              <w:t>15b.</w:t>
            </w:r>
          </w:p>
        </w:tc>
        <w:tc>
          <w:tcPr>
            <w:tcW w:w="5210" w:type="dxa"/>
          </w:tcPr>
          <w:p w14:paraId="33633ED8" w14:textId="11BBE701" w:rsidR="00EC01B5" w:rsidRPr="00295056" w:rsidRDefault="00352C9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where impediments capable of altering the performance of the outsourced function are identified;</w:t>
            </w:r>
          </w:p>
        </w:tc>
        <w:tc>
          <w:tcPr>
            <w:tcW w:w="1275" w:type="dxa"/>
          </w:tcPr>
          <w:p w14:paraId="016EAD74" w14:textId="77777777" w:rsidR="00EC01B5" w:rsidRPr="00295056" w:rsidRDefault="00EC01B5" w:rsidP="00311051">
            <w:pPr>
              <w:rPr>
                <w:rFonts w:ascii="Calibri" w:hAnsi="Calibri" w:cs="Calibri"/>
                <w:sz w:val="24"/>
                <w:szCs w:val="24"/>
                <w:lang w:val="en-US"/>
              </w:rPr>
            </w:pPr>
          </w:p>
        </w:tc>
        <w:tc>
          <w:tcPr>
            <w:tcW w:w="1834" w:type="dxa"/>
          </w:tcPr>
          <w:p w14:paraId="0E00EB79" w14:textId="77777777" w:rsidR="00EC01B5" w:rsidRPr="00295056" w:rsidRDefault="00EC01B5" w:rsidP="00311051">
            <w:pPr>
              <w:rPr>
                <w:rFonts w:ascii="Calibri" w:hAnsi="Calibri" w:cs="Calibri"/>
                <w:sz w:val="24"/>
                <w:szCs w:val="24"/>
                <w:lang w:val="en-US"/>
              </w:rPr>
            </w:pPr>
          </w:p>
        </w:tc>
        <w:tc>
          <w:tcPr>
            <w:tcW w:w="4242" w:type="dxa"/>
          </w:tcPr>
          <w:p w14:paraId="54563A81" w14:textId="77777777" w:rsidR="00EC01B5" w:rsidRPr="00295056" w:rsidRDefault="00EC01B5" w:rsidP="00311051">
            <w:pPr>
              <w:rPr>
                <w:rFonts w:ascii="Calibri" w:hAnsi="Calibri" w:cs="Calibri"/>
                <w:sz w:val="24"/>
                <w:szCs w:val="24"/>
                <w:lang w:val="en-US"/>
              </w:rPr>
            </w:pPr>
          </w:p>
        </w:tc>
      </w:tr>
      <w:tr w:rsidR="00EC01B5" w:rsidRPr="009D0367" w14:paraId="1500751A" w14:textId="77777777" w:rsidTr="00425363">
        <w:tc>
          <w:tcPr>
            <w:tcW w:w="778" w:type="dxa"/>
          </w:tcPr>
          <w:p w14:paraId="0ECACB73" w14:textId="527CD047" w:rsidR="00EC01B5" w:rsidRPr="00295056" w:rsidRDefault="00EC01B5" w:rsidP="00311051">
            <w:pPr>
              <w:rPr>
                <w:rFonts w:ascii="Calibri" w:hAnsi="Calibri" w:cs="Calibri"/>
                <w:sz w:val="24"/>
                <w:szCs w:val="24"/>
                <w:lang w:val="en-US"/>
              </w:rPr>
            </w:pPr>
            <w:r w:rsidRPr="00295056">
              <w:rPr>
                <w:rFonts w:ascii="Calibri" w:hAnsi="Calibri" w:cs="Calibri"/>
                <w:sz w:val="24"/>
                <w:szCs w:val="24"/>
                <w:lang w:val="en-US"/>
              </w:rPr>
              <w:t>15c.</w:t>
            </w:r>
          </w:p>
        </w:tc>
        <w:tc>
          <w:tcPr>
            <w:tcW w:w="5210" w:type="dxa"/>
          </w:tcPr>
          <w:p w14:paraId="14EBABA3" w14:textId="0686F29C" w:rsidR="00EC01B5" w:rsidRPr="00295056" w:rsidRDefault="00352C9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 xml:space="preserve">where there are material changes affecting the outsourcing arrangement or the service provider </w:t>
            </w:r>
            <w:r w:rsidRPr="00295056">
              <w:rPr>
                <w:rFonts w:ascii="Calibri" w:hAnsi="Calibri" w:cs="Calibri"/>
                <w:color w:val="000000"/>
                <w:sz w:val="24"/>
                <w:szCs w:val="24"/>
                <w:lang w:val="en-US"/>
              </w:rPr>
              <w:lastRenderedPageBreak/>
              <w:t>(e.g. sub-outsourcing or changes of sub-contractors);</w:t>
            </w:r>
          </w:p>
        </w:tc>
        <w:tc>
          <w:tcPr>
            <w:tcW w:w="1275" w:type="dxa"/>
          </w:tcPr>
          <w:p w14:paraId="302440D1" w14:textId="77777777" w:rsidR="00EC01B5" w:rsidRPr="00295056" w:rsidRDefault="00EC01B5" w:rsidP="00311051">
            <w:pPr>
              <w:rPr>
                <w:rFonts w:ascii="Calibri" w:hAnsi="Calibri" w:cs="Calibri"/>
                <w:sz w:val="24"/>
                <w:szCs w:val="24"/>
                <w:lang w:val="en-US"/>
              </w:rPr>
            </w:pPr>
          </w:p>
        </w:tc>
        <w:tc>
          <w:tcPr>
            <w:tcW w:w="1834" w:type="dxa"/>
          </w:tcPr>
          <w:p w14:paraId="79D75908" w14:textId="77777777" w:rsidR="00EC01B5" w:rsidRPr="00295056" w:rsidRDefault="00EC01B5" w:rsidP="00311051">
            <w:pPr>
              <w:rPr>
                <w:rFonts w:ascii="Calibri" w:hAnsi="Calibri" w:cs="Calibri"/>
                <w:sz w:val="24"/>
                <w:szCs w:val="24"/>
                <w:lang w:val="en-US"/>
              </w:rPr>
            </w:pPr>
          </w:p>
        </w:tc>
        <w:tc>
          <w:tcPr>
            <w:tcW w:w="4242" w:type="dxa"/>
          </w:tcPr>
          <w:p w14:paraId="557F7035" w14:textId="77777777" w:rsidR="00EC01B5" w:rsidRPr="00295056" w:rsidRDefault="00EC01B5" w:rsidP="00311051">
            <w:pPr>
              <w:rPr>
                <w:rFonts w:ascii="Calibri" w:hAnsi="Calibri" w:cs="Calibri"/>
                <w:sz w:val="24"/>
                <w:szCs w:val="24"/>
                <w:lang w:val="en-US"/>
              </w:rPr>
            </w:pPr>
          </w:p>
        </w:tc>
      </w:tr>
      <w:tr w:rsidR="00EC01B5" w:rsidRPr="009D0367" w14:paraId="2B707C84" w14:textId="77777777" w:rsidTr="00425363">
        <w:tc>
          <w:tcPr>
            <w:tcW w:w="778" w:type="dxa"/>
          </w:tcPr>
          <w:p w14:paraId="39DE813C" w14:textId="0E84B54B" w:rsidR="00EC01B5" w:rsidRPr="00295056" w:rsidRDefault="00352C93" w:rsidP="00311051">
            <w:pPr>
              <w:rPr>
                <w:rFonts w:ascii="Calibri" w:hAnsi="Calibri" w:cs="Calibri"/>
                <w:sz w:val="24"/>
                <w:szCs w:val="24"/>
                <w:lang w:val="en-US"/>
              </w:rPr>
            </w:pPr>
            <w:r w:rsidRPr="00295056">
              <w:rPr>
                <w:rFonts w:ascii="Calibri" w:hAnsi="Calibri" w:cs="Calibri"/>
                <w:sz w:val="24"/>
                <w:szCs w:val="24"/>
                <w:lang w:val="en-US"/>
              </w:rPr>
              <w:t>15d.</w:t>
            </w:r>
          </w:p>
        </w:tc>
        <w:tc>
          <w:tcPr>
            <w:tcW w:w="5210" w:type="dxa"/>
          </w:tcPr>
          <w:p w14:paraId="2810A487" w14:textId="1811CFC5" w:rsidR="00EC01B5" w:rsidRPr="00295056" w:rsidRDefault="007B7778" w:rsidP="007B7778">
            <w:pPr>
              <w:rPr>
                <w:rFonts w:ascii="Calibri" w:hAnsi="Calibri" w:cs="Calibri"/>
                <w:sz w:val="24"/>
                <w:szCs w:val="24"/>
                <w:lang w:val="en-US"/>
              </w:rPr>
            </w:pPr>
            <w:r w:rsidRPr="00295056">
              <w:rPr>
                <w:rFonts w:ascii="Calibri" w:hAnsi="Calibri" w:cs="Calibri"/>
                <w:color w:val="000000"/>
                <w:sz w:val="24"/>
                <w:szCs w:val="24"/>
                <w:lang w:val="en-US"/>
              </w:rPr>
              <w:t>where there are weaknesses regarding the management and security of confidential, personal or otherwise sensitive data or information; and</w:t>
            </w:r>
          </w:p>
        </w:tc>
        <w:tc>
          <w:tcPr>
            <w:tcW w:w="1275" w:type="dxa"/>
          </w:tcPr>
          <w:p w14:paraId="21849EB2" w14:textId="77777777" w:rsidR="00EC01B5" w:rsidRPr="00295056" w:rsidRDefault="00EC01B5" w:rsidP="00311051">
            <w:pPr>
              <w:rPr>
                <w:rFonts w:ascii="Calibri" w:hAnsi="Calibri" w:cs="Calibri"/>
                <w:sz w:val="24"/>
                <w:szCs w:val="24"/>
                <w:lang w:val="en-US"/>
              </w:rPr>
            </w:pPr>
          </w:p>
        </w:tc>
        <w:tc>
          <w:tcPr>
            <w:tcW w:w="1834" w:type="dxa"/>
          </w:tcPr>
          <w:p w14:paraId="77C8C95C" w14:textId="77777777" w:rsidR="00EC01B5" w:rsidRPr="00295056" w:rsidRDefault="00EC01B5" w:rsidP="00311051">
            <w:pPr>
              <w:rPr>
                <w:rFonts w:ascii="Calibri" w:hAnsi="Calibri" w:cs="Calibri"/>
                <w:sz w:val="24"/>
                <w:szCs w:val="24"/>
                <w:lang w:val="en-US"/>
              </w:rPr>
            </w:pPr>
          </w:p>
        </w:tc>
        <w:tc>
          <w:tcPr>
            <w:tcW w:w="4242" w:type="dxa"/>
          </w:tcPr>
          <w:p w14:paraId="6CE1BF30" w14:textId="77777777" w:rsidR="00EC01B5" w:rsidRPr="00295056" w:rsidRDefault="00EC01B5" w:rsidP="00311051">
            <w:pPr>
              <w:rPr>
                <w:rFonts w:ascii="Calibri" w:hAnsi="Calibri" w:cs="Calibri"/>
                <w:sz w:val="24"/>
                <w:szCs w:val="24"/>
                <w:lang w:val="en-US"/>
              </w:rPr>
            </w:pPr>
          </w:p>
        </w:tc>
      </w:tr>
      <w:tr w:rsidR="00EC01B5" w:rsidRPr="009D0367" w14:paraId="6E1E3890" w14:textId="77777777" w:rsidTr="00425363">
        <w:tc>
          <w:tcPr>
            <w:tcW w:w="778" w:type="dxa"/>
          </w:tcPr>
          <w:p w14:paraId="325DC753" w14:textId="414AE154" w:rsidR="00EC01B5" w:rsidRPr="00295056" w:rsidRDefault="007B7778" w:rsidP="00311051">
            <w:pPr>
              <w:rPr>
                <w:rFonts w:ascii="Calibri" w:hAnsi="Calibri" w:cs="Calibri"/>
                <w:sz w:val="24"/>
                <w:szCs w:val="24"/>
                <w:lang w:val="en-US"/>
              </w:rPr>
            </w:pPr>
            <w:r w:rsidRPr="00295056">
              <w:rPr>
                <w:rFonts w:ascii="Calibri" w:hAnsi="Calibri" w:cs="Calibri"/>
                <w:sz w:val="24"/>
                <w:szCs w:val="24"/>
                <w:lang w:val="en-US"/>
              </w:rPr>
              <w:t>15e.</w:t>
            </w:r>
          </w:p>
        </w:tc>
        <w:tc>
          <w:tcPr>
            <w:tcW w:w="5210" w:type="dxa"/>
          </w:tcPr>
          <w:p w14:paraId="52B489FA" w14:textId="0BA8F8EC" w:rsidR="00EC01B5" w:rsidRPr="00295056" w:rsidRDefault="007B7778"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where instructions are given by the (payment) institution's competent authority, e.g. in the case that the competent authority is, caused by the outsourcing arrangement, no longer in a position to effectively supervise the (payment) institution.</w:t>
            </w:r>
          </w:p>
        </w:tc>
        <w:tc>
          <w:tcPr>
            <w:tcW w:w="1275" w:type="dxa"/>
          </w:tcPr>
          <w:p w14:paraId="731E18F4" w14:textId="77777777" w:rsidR="00EC01B5" w:rsidRPr="00295056" w:rsidRDefault="00EC01B5" w:rsidP="00311051">
            <w:pPr>
              <w:rPr>
                <w:rFonts w:ascii="Calibri" w:hAnsi="Calibri" w:cs="Calibri"/>
                <w:sz w:val="24"/>
                <w:szCs w:val="24"/>
                <w:lang w:val="en-US"/>
              </w:rPr>
            </w:pPr>
          </w:p>
        </w:tc>
        <w:tc>
          <w:tcPr>
            <w:tcW w:w="1834" w:type="dxa"/>
          </w:tcPr>
          <w:p w14:paraId="64B04060" w14:textId="77777777" w:rsidR="00EC01B5" w:rsidRPr="00295056" w:rsidRDefault="00EC01B5" w:rsidP="00311051">
            <w:pPr>
              <w:rPr>
                <w:rFonts w:ascii="Calibri" w:hAnsi="Calibri" w:cs="Calibri"/>
                <w:sz w:val="24"/>
                <w:szCs w:val="24"/>
                <w:lang w:val="en-US"/>
              </w:rPr>
            </w:pPr>
          </w:p>
        </w:tc>
        <w:tc>
          <w:tcPr>
            <w:tcW w:w="4242" w:type="dxa"/>
          </w:tcPr>
          <w:p w14:paraId="58A286E7" w14:textId="77777777" w:rsidR="00EC01B5" w:rsidRPr="00295056" w:rsidRDefault="00EC01B5" w:rsidP="00311051">
            <w:pPr>
              <w:rPr>
                <w:rFonts w:ascii="Calibri" w:hAnsi="Calibri" w:cs="Calibri"/>
                <w:sz w:val="24"/>
                <w:szCs w:val="24"/>
                <w:lang w:val="en-US"/>
              </w:rPr>
            </w:pPr>
          </w:p>
        </w:tc>
      </w:tr>
      <w:tr w:rsidR="00EC01B5" w:rsidRPr="009D0367" w14:paraId="7D5995CD" w14:textId="77777777" w:rsidTr="00425363">
        <w:tc>
          <w:tcPr>
            <w:tcW w:w="778" w:type="dxa"/>
          </w:tcPr>
          <w:p w14:paraId="55387633" w14:textId="6802C1CB" w:rsidR="00EC01B5" w:rsidRPr="00295056" w:rsidRDefault="007B7778" w:rsidP="00311051">
            <w:pPr>
              <w:rPr>
                <w:rFonts w:ascii="Calibri" w:hAnsi="Calibri" w:cs="Calibri"/>
                <w:sz w:val="24"/>
                <w:szCs w:val="24"/>
                <w:lang w:val="en-US"/>
              </w:rPr>
            </w:pPr>
            <w:r w:rsidRPr="00295056">
              <w:rPr>
                <w:rFonts w:ascii="Calibri" w:hAnsi="Calibri" w:cs="Calibri"/>
                <w:sz w:val="24"/>
                <w:szCs w:val="24"/>
                <w:lang w:val="en-US"/>
              </w:rPr>
              <w:t>16.</w:t>
            </w:r>
          </w:p>
        </w:tc>
        <w:tc>
          <w:tcPr>
            <w:tcW w:w="5210" w:type="dxa"/>
          </w:tcPr>
          <w:p w14:paraId="721B5CD0" w14:textId="23236D7D" w:rsidR="00EC01B5" w:rsidRPr="00295056" w:rsidRDefault="00FB521A"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Arrangements for the transfer of the outsourced function to another service provider or its re-incorporation into the (payment) institutions, including:</w:t>
            </w:r>
          </w:p>
        </w:tc>
        <w:tc>
          <w:tcPr>
            <w:tcW w:w="1275" w:type="dxa"/>
          </w:tcPr>
          <w:p w14:paraId="1EC4930C" w14:textId="77777777" w:rsidR="00EC01B5" w:rsidRPr="00295056" w:rsidRDefault="00EC01B5" w:rsidP="00311051">
            <w:pPr>
              <w:rPr>
                <w:rFonts w:ascii="Calibri" w:hAnsi="Calibri" w:cs="Calibri"/>
                <w:sz w:val="24"/>
                <w:szCs w:val="24"/>
                <w:lang w:val="en-US"/>
              </w:rPr>
            </w:pPr>
          </w:p>
        </w:tc>
        <w:tc>
          <w:tcPr>
            <w:tcW w:w="1834" w:type="dxa"/>
          </w:tcPr>
          <w:p w14:paraId="7649F405" w14:textId="77777777" w:rsidR="00EC01B5" w:rsidRPr="00295056" w:rsidRDefault="00EC01B5" w:rsidP="00311051">
            <w:pPr>
              <w:rPr>
                <w:rFonts w:ascii="Calibri" w:hAnsi="Calibri" w:cs="Calibri"/>
                <w:sz w:val="24"/>
                <w:szCs w:val="24"/>
                <w:lang w:val="en-US"/>
              </w:rPr>
            </w:pPr>
          </w:p>
        </w:tc>
        <w:tc>
          <w:tcPr>
            <w:tcW w:w="4242" w:type="dxa"/>
          </w:tcPr>
          <w:p w14:paraId="0E235AA8" w14:textId="77777777" w:rsidR="00EC01B5" w:rsidRPr="00295056" w:rsidRDefault="00EC01B5" w:rsidP="00311051">
            <w:pPr>
              <w:rPr>
                <w:rFonts w:ascii="Calibri" w:hAnsi="Calibri" w:cs="Calibri"/>
                <w:sz w:val="24"/>
                <w:szCs w:val="24"/>
                <w:lang w:val="en-US"/>
              </w:rPr>
            </w:pPr>
          </w:p>
        </w:tc>
      </w:tr>
      <w:tr w:rsidR="00EC01B5" w:rsidRPr="009D0367" w14:paraId="2AB4DECC" w14:textId="77777777" w:rsidTr="00425363">
        <w:tc>
          <w:tcPr>
            <w:tcW w:w="778" w:type="dxa"/>
          </w:tcPr>
          <w:p w14:paraId="1E44FCAE" w14:textId="3F7245A2" w:rsidR="00EC01B5" w:rsidRPr="00295056" w:rsidRDefault="00FB521A" w:rsidP="00311051">
            <w:pPr>
              <w:rPr>
                <w:rFonts w:ascii="Calibri" w:hAnsi="Calibri" w:cs="Calibri"/>
                <w:sz w:val="24"/>
                <w:szCs w:val="24"/>
                <w:lang w:val="en-US"/>
              </w:rPr>
            </w:pPr>
            <w:r w:rsidRPr="00295056">
              <w:rPr>
                <w:rFonts w:ascii="Calibri" w:hAnsi="Calibri" w:cs="Calibri"/>
                <w:sz w:val="24"/>
                <w:szCs w:val="24"/>
                <w:lang w:val="en-US"/>
              </w:rPr>
              <w:t>16a.</w:t>
            </w:r>
          </w:p>
        </w:tc>
        <w:tc>
          <w:tcPr>
            <w:tcW w:w="5210" w:type="dxa"/>
          </w:tcPr>
          <w:p w14:paraId="579E65DE" w14:textId="1F0E5BDB" w:rsidR="00EC01B5" w:rsidRPr="00295056" w:rsidRDefault="00F66E9C"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obligations of the existing service provider, in the case of a transfer of the outsourced function to another service provider or back to the (payment) institution, including the treatment of data;</w:t>
            </w:r>
          </w:p>
        </w:tc>
        <w:tc>
          <w:tcPr>
            <w:tcW w:w="1275" w:type="dxa"/>
          </w:tcPr>
          <w:p w14:paraId="72B6DA80" w14:textId="77777777" w:rsidR="00EC01B5" w:rsidRPr="00295056" w:rsidRDefault="00EC01B5" w:rsidP="00311051">
            <w:pPr>
              <w:rPr>
                <w:rFonts w:ascii="Calibri" w:hAnsi="Calibri" w:cs="Calibri"/>
                <w:sz w:val="24"/>
                <w:szCs w:val="24"/>
                <w:lang w:val="en-US"/>
              </w:rPr>
            </w:pPr>
          </w:p>
        </w:tc>
        <w:tc>
          <w:tcPr>
            <w:tcW w:w="1834" w:type="dxa"/>
          </w:tcPr>
          <w:p w14:paraId="6BE94D12" w14:textId="77777777" w:rsidR="00EC01B5" w:rsidRPr="00295056" w:rsidRDefault="00EC01B5" w:rsidP="00311051">
            <w:pPr>
              <w:rPr>
                <w:rFonts w:ascii="Calibri" w:hAnsi="Calibri" w:cs="Calibri"/>
                <w:sz w:val="24"/>
                <w:szCs w:val="24"/>
                <w:lang w:val="en-US"/>
              </w:rPr>
            </w:pPr>
          </w:p>
        </w:tc>
        <w:tc>
          <w:tcPr>
            <w:tcW w:w="4242" w:type="dxa"/>
          </w:tcPr>
          <w:p w14:paraId="703E8D05" w14:textId="77777777" w:rsidR="00EC01B5" w:rsidRPr="00295056" w:rsidRDefault="00EC01B5" w:rsidP="00311051">
            <w:pPr>
              <w:rPr>
                <w:rFonts w:ascii="Calibri" w:hAnsi="Calibri" w:cs="Calibri"/>
                <w:sz w:val="24"/>
                <w:szCs w:val="24"/>
                <w:lang w:val="en-US"/>
              </w:rPr>
            </w:pPr>
          </w:p>
        </w:tc>
      </w:tr>
      <w:tr w:rsidR="00EC01B5" w:rsidRPr="009D0367" w14:paraId="14780C59" w14:textId="77777777" w:rsidTr="00425363">
        <w:tc>
          <w:tcPr>
            <w:tcW w:w="778" w:type="dxa"/>
          </w:tcPr>
          <w:p w14:paraId="3F79B652" w14:textId="322E16CE" w:rsidR="00EC01B5" w:rsidRPr="00295056" w:rsidRDefault="00FB521A" w:rsidP="00311051">
            <w:pPr>
              <w:rPr>
                <w:rFonts w:ascii="Calibri" w:hAnsi="Calibri" w:cs="Calibri"/>
                <w:sz w:val="24"/>
                <w:szCs w:val="24"/>
                <w:lang w:val="en-US"/>
              </w:rPr>
            </w:pPr>
            <w:r w:rsidRPr="00295056">
              <w:rPr>
                <w:rFonts w:ascii="Calibri" w:hAnsi="Calibri" w:cs="Calibri"/>
                <w:sz w:val="24"/>
                <w:szCs w:val="24"/>
                <w:lang w:val="en-US"/>
              </w:rPr>
              <w:t>16b.</w:t>
            </w:r>
          </w:p>
        </w:tc>
        <w:tc>
          <w:tcPr>
            <w:tcW w:w="5210" w:type="dxa"/>
          </w:tcPr>
          <w:p w14:paraId="3B544EAB" w14:textId="79385E4A" w:rsidR="00EC01B5" w:rsidRPr="00295056" w:rsidRDefault="00BD24D2" w:rsidP="00311051">
            <w:pPr>
              <w:rPr>
                <w:rFonts w:ascii="Calibri" w:eastAsia="Times New Roman" w:hAnsi="Calibri" w:cs="Calibri"/>
                <w:color w:val="000000"/>
                <w:sz w:val="24"/>
                <w:szCs w:val="24"/>
                <w:lang w:val="en-US"/>
              </w:rPr>
            </w:pPr>
            <w:r>
              <w:rPr>
                <w:rFonts w:ascii="Calibri" w:hAnsi="Calibri" w:cs="Calibri"/>
                <w:color w:val="000000"/>
                <w:sz w:val="24"/>
                <w:szCs w:val="24"/>
                <w:lang w:val="en-US"/>
              </w:rPr>
              <w:t>an appropriate transition period, during which the service provider, after the termination of the outsourcing agreement, would continue to provide the outsourced function to reduce the risk of disruptions</w:t>
            </w:r>
            <w:r w:rsidR="001C5388" w:rsidRPr="00295056">
              <w:rPr>
                <w:rFonts w:ascii="Calibri" w:hAnsi="Calibri" w:cs="Calibri"/>
                <w:color w:val="000000"/>
                <w:sz w:val="24"/>
                <w:szCs w:val="24"/>
                <w:lang w:val="en-US"/>
              </w:rPr>
              <w:t>;</w:t>
            </w:r>
          </w:p>
        </w:tc>
        <w:tc>
          <w:tcPr>
            <w:tcW w:w="1275" w:type="dxa"/>
          </w:tcPr>
          <w:p w14:paraId="2C5AB8A9" w14:textId="77777777" w:rsidR="00EC01B5" w:rsidRPr="00295056" w:rsidRDefault="00EC01B5" w:rsidP="00311051">
            <w:pPr>
              <w:rPr>
                <w:rFonts w:ascii="Calibri" w:hAnsi="Calibri" w:cs="Calibri"/>
                <w:sz w:val="24"/>
                <w:szCs w:val="24"/>
                <w:lang w:val="en-US"/>
              </w:rPr>
            </w:pPr>
          </w:p>
        </w:tc>
        <w:tc>
          <w:tcPr>
            <w:tcW w:w="1834" w:type="dxa"/>
          </w:tcPr>
          <w:p w14:paraId="2F6AEA43" w14:textId="77777777" w:rsidR="00EC01B5" w:rsidRPr="00295056" w:rsidRDefault="00EC01B5" w:rsidP="00311051">
            <w:pPr>
              <w:rPr>
                <w:rFonts w:ascii="Calibri" w:hAnsi="Calibri" w:cs="Calibri"/>
                <w:sz w:val="24"/>
                <w:szCs w:val="24"/>
                <w:lang w:val="en-US"/>
              </w:rPr>
            </w:pPr>
          </w:p>
        </w:tc>
        <w:tc>
          <w:tcPr>
            <w:tcW w:w="4242" w:type="dxa"/>
          </w:tcPr>
          <w:p w14:paraId="33A9CF07" w14:textId="77777777" w:rsidR="00EC01B5" w:rsidRPr="00295056" w:rsidRDefault="00EC01B5" w:rsidP="00311051">
            <w:pPr>
              <w:rPr>
                <w:rFonts w:ascii="Calibri" w:hAnsi="Calibri" w:cs="Calibri"/>
                <w:sz w:val="24"/>
                <w:szCs w:val="24"/>
                <w:lang w:val="en-US"/>
              </w:rPr>
            </w:pPr>
          </w:p>
        </w:tc>
      </w:tr>
      <w:tr w:rsidR="00FB521A" w:rsidRPr="009D0367" w14:paraId="2CB7CF38" w14:textId="77777777" w:rsidTr="00425363">
        <w:tc>
          <w:tcPr>
            <w:tcW w:w="778" w:type="dxa"/>
          </w:tcPr>
          <w:p w14:paraId="31E4E52C" w14:textId="0F288A6D" w:rsidR="00FB521A" w:rsidRPr="00295056" w:rsidRDefault="001C5388" w:rsidP="00311051">
            <w:pPr>
              <w:rPr>
                <w:rFonts w:ascii="Calibri" w:hAnsi="Calibri" w:cs="Calibri"/>
                <w:sz w:val="24"/>
                <w:szCs w:val="24"/>
                <w:lang w:val="en-US"/>
              </w:rPr>
            </w:pPr>
            <w:r w:rsidRPr="00295056">
              <w:rPr>
                <w:rFonts w:ascii="Calibri" w:hAnsi="Calibri" w:cs="Calibri"/>
                <w:sz w:val="24"/>
                <w:szCs w:val="24"/>
                <w:lang w:val="en-US"/>
              </w:rPr>
              <w:t>16c.</w:t>
            </w:r>
          </w:p>
        </w:tc>
        <w:tc>
          <w:tcPr>
            <w:tcW w:w="5210" w:type="dxa"/>
          </w:tcPr>
          <w:p w14:paraId="353886A7" w14:textId="310ADED8" w:rsidR="00FB521A" w:rsidRPr="00295056" w:rsidRDefault="001C5388"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an obligation of the service provider to support the (payment) institution in the orderly transfer of the function in the event of the termination of the outsourcing agreement.</w:t>
            </w:r>
          </w:p>
        </w:tc>
        <w:tc>
          <w:tcPr>
            <w:tcW w:w="1275" w:type="dxa"/>
          </w:tcPr>
          <w:p w14:paraId="54927AF3" w14:textId="77777777" w:rsidR="00FB521A" w:rsidRPr="00295056" w:rsidRDefault="00FB521A" w:rsidP="00311051">
            <w:pPr>
              <w:rPr>
                <w:rFonts w:ascii="Calibri" w:hAnsi="Calibri" w:cs="Calibri"/>
                <w:sz w:val="24"/>
                <w:szCs w:val="24"/>
                <w:lang w:val="en-US"/>
              </w:rPr>
            </w:pPr>
          </w:p>
        </w:tc>
        <w:tc>
          <w:tcPr>
            <w:tcW w:w="1834" w:type="dxa"/>
          </w:tcPr>
          <w:p w14:paraId="1283A4A8" w14:textId="77777777" w:rsidR="00FB521A" w:rsidRPr="00295056" w:rsidRDefault="00FB521A" w:rsidP="00311051">
            <w:pPr>
              <w:rPr>
                <w:rFonts w:ascii="Calibri" w:hAnsi="Calibri" w:cs="Calibri"/>
                <w:sz w:val="24"/>
                <w:szCs w:val="24"/>
                <w:lang w:val="en-US"/>
              </w:rPr>
            </w:pPr>
          </w:p>
        </w:tc>
        <w:tc>
          <w:tcPr>
            <w:tcW w:w="4242" w:type="dxa"/>
          </w:tcPr>
          <w:p w14:paraId="5F50757B" w14:textId="77777777" w:rsidR="00FB521A" w:rsidRPr="00295056" w:rsidRDefault="00FB521A" w:rsidP="00311051">
            <w:pPr>
              <w:rPr>
                <w:rFonts w:ascii="Calibri" w:hAnsi="Calibri" w:cs="Calibri"/>
                <w:sz w:val="24"/>
                <w:szCs w:val="24"/>
                <w:lang w:val="en-US"/>
              </w:rPr>
            </w:pPr>
          </w:p>
        </w:tc>
      </w:tr>
      <w:tr w:rsidR="00247F9E" w:rsidRPr="009D0367" w14:paraId="71B91822" w14:textId="77777777" w:rsidTr="00425363">
        <w:tc>
          <w:tcPr>
            <w:tcW w:w="778" w:type="dxa"/>
          </w:tcPr>
          <w:p w14:paraId="2F230697" w14:textId="0350595D" w:rsidR="00247F9E" w:rsidRPr="00295056" w:rsidRDefault="002F3793" w:rsidP="00311051">
            <w:pPr>
              <w:rPr>
                <w:rFonts w:ascii="Calibri" w:hAnsi="Calibri" w:cs="Calibri"/>
                <w:lang w:val="en-US"/>
              </w:rPr>
            </w:pPr>
            <w:r>
              <w:rPr>
                <w:rFonts w:ascii="Calibri" w:hAnsi="Calibri" w:cs="Calibri"/>
                <w:lang w:val="en-US"/>
              </w:rPr>
              <w:lastRenderedPageBreak/>
              <w:t>17.</w:t>
            </w:r>
          </w:p>
        </w:tc>
        <w:tc>
          <w:tcPr>
            <w:tcW w:w="5210" w:type="dxa"/>
          </w:tcPr>
          <w:p w14:paraId="6DC0AA91" w14:textId="67F3AEC2" w:rsidR="00247F9E" w:rsidRPr="00295056" w:rsidRDefault="002F3793" w:rsidP="00311051">
            <w:pPr>
              <w:rPr>
                <w:rFonts w:ascii="Calibri" w:hAnsi="Calibri" w:cs="Calibri"/>
                <w:color w:val="000000"/>
                <w:lang w:val="en-US"/>
              </w:rPr>
            </w:pPr>
            <w:r>
              <w:rPr>
                <w:rFonts w:ascii="Calibri" w:hAnsi="Calibri" w:cs="Calibri"/>
                <w:color w:val="000000"/>
                <w:lang w:val="en-US"/>
              </w:rPr>
              <w:t xml:space="preserve">The obligation </w:t>
            </w:r>
            <w:r w:rsidR="00FD1AD4">
              <w:rPr>
                <w:rFonts w:ascii="Calibri" w:hAnsi="Calibri" w:cs="Calibri"/>
                <w:color w:val="000000"/>
                <w:lang w:val="en-US"/>
              </w:rPr>
              <w:t xml:space="preserve">for service providers, where relevant, to comply with appropriate IT </w:t>
            </w:r>
            <w:r w:rsidR="001B72E0">
              <w:rPr>
                <w:rFonts w:ascii="Calibri" w:hAnsi="Calibri" w:cs="Calibri"/>
                <w:color w:val="000000"/>
                <w:lang w:val="en-US"/>
              </w:rPr>
              <w:t xml:space="preserve">data and system </w:t>
            </w:r>
            <w:r w:rsidR="00FD1AD4">
              <w:rPr>
                <w:rFonts w:ascii="Calibri" w:hAnsi="Calibri" w:cs="Calibri"/>
                <w:color w:val="000000"/>
                <w:lang w:val="en-US"/>
              </w:rPr>
              <w:t>security standards.</w:t>
            </w:r>
          </w:p>
        </w:tc>
        <w:tc>
          <w:tcPr>
            <w:tcW w:w="1275" w:type="dxa"/>
          </w:tcPr>
          <w:p w14:paraId="135C631B" w14:textId="77777777" w:rsidR="00247F9E" w:rsidRPr="00295056" w:rsidRDefault="00247F9E" w:rsidP="00311051">
            <w:pPr>
              <w:rPr>
                <w:rFonts w:ascii="Calibri" w:hAnsi="Calibri" w:cs="Calibri"/>
                <w:lang w:val="en-US"/>
              </w:rPr>
            </w:pPr>
          </w:p>
        </w:tc>
        <w:tc>
          <w:tcPr>
            <w:tcW w:w="1834" w:type="dxa"/>
          </w:tcPr>
          <w:p w14:paraId="5A52C1F9" w14:textId="77777777" w:rsidR="00247F9E" w:rsidRPr="00295056" w:rsidRDefault="00247F9E" w:rsidP="00311051">
            <w:pPr>
              <w:rPr>
                <w:rFonts w:ascii="Calibri" w:hAnsi="Calibri" w:cs="Calibri"/>
                <w:lang w:val="en-US"/>
              </w:rPr>
            </w:pPr>
          </w:p>
        </w:tc>
        <w:tc>
          <w:tcPr>
            <w:tcW w:w="4242" w:type="dxa"/>
          </w:tcPr>
          <w:p w14:paraId="33E84C05" w14:textId="77777777" w:rsidR="00247F9E" w:rsidRPr="00295056" w:rsidRDefault="00247F9E" w:rsidP="00311051">
            <w:pPr>
              <w:rPr>
                <w:rFonts w:ascii="Calibri" w:hAnsi="Calibri" w:cs="Calibri"/>
                <w:lang w:val="en-US"/>
              </w:rPr>
            </w:pPr>
          </w:p>
        </w:tc>
      </w:tr>
      <w:tr w:rsidR="002F3793" w:rsidRPr="009D0367" w14:paraId="5362DE31" w14:textId="77777777" w:rsidTr="00425363">
        <w:tc>
          <w:tcPr>
            <w:tcW w:w="778" w:type="dxa"/>
          </w:tcPr>
          <w:p w14:paraId="20A5D6F1" w14:textId="56F1450C" w:rsidR="002F3793" w:rsidRPr="00295056" w:rsidRDefault="00FD1AD4" w:rsidP="00311051">
            <w:pPr>
              <w:rPr>
                <w:rFonts w:ascii="Calibri" w:hAnsi="Calibri" w:cs="Calibri"/>
                <w:lang w:val="en-US"/>
              </w:rPr>
            </w:pPr>
            <w:r>
              <w:rPr>
                <w:rFonts w:ascii="Calibri" w:hAnsi="Calibri" w:cs="Calibri"/>
                <w:lang w:val="en-US"/>
              </w:rPr>
              <w:t xml:space="preserve">18. </w:t>
            </w:r>
          </w:p>
        </w:tc>
        <w:tc>
          <w:tcPr>
            <w:tcW w:w="5210" w:type="dxa"/>
          </w:tcPr>
          <w:p w14:paraId="1533AC40" w14:textId="4B67A86B" w:rsidR="002F3793" w:rsidRPr="00295056" w:rsidRDefault="00951688" w:rsidP="00847748">
            <w:pPr>
              <w:rPr>
                <w:rFonts w:ascii="Calibri" w:hAnsi="Calibri" w:cs="Calibri"/>
                <w:color w:val="000000"/>
                <w:lang w:val="en-US"/>
              </w:rPr>
            </w:pPr>
            <w:r>
              <w:rPr>
                <w:rFonts w:ascii="Calibri" w:hAnsi="Calibri" w:cs="Calibri"/>
                <w:color w:val="000000"/>
                <w:lang w:val="en-US"/>
              </w:rPr>
              <w:t>T</w:t>
            </w:r>
            <w:r w:rsidRPr="00951688">
              <w:rPr>
                <w:rFonts w:ascii="Calibri" w:hAnsi="Calibri" w:cs="Calibri"/>
                <w:color w:val="000000"/>
                <w:lang w:val="en-US"/>
              </w:rPr>
              <w:t xml:space="preserve">he obligation </w:t>
            </w:r>
            <w:r>
              <w:rPr>
                <w:rFonts w:ascii="Calibri" w:hAnsi="Calibri" w:cs="Calibri"/>
                <w:color w:val="000000"/>
                <w:lang w:val="en-US"/>
              </w:rPr>
              <w:t xml:space="preserve">that </w:t>
            </w:r>
            <w:r w:rsidRPr="00951688">
              <w:rPr>
                <w:rFonts w:ascii="Calibri" w:hAnsi="Calibri" w:cs="Calibri"/>
                <w:color w:val="000000"/>
                <w:lang w:val="en-US"/>
              </w:rPr>
              <w:t xml:space="preserve">the service provider protects confidential, personal or otherwise sensitive information and complies with all legal requirements regarding the protection of data that apply to the </w:t>
            </w:r>
            <w:r>
              <w:rPr>
                <w:rFonts w:ascii="Calibri" w:hAnsi="Calibri" w:cs="Calibri"/>
                <w:color w:val="000000"/>
                <w:lang w:val="en-US"/>
              </w:rPr>
              <w:t xml:space="preserve">(payment) </w:t>
            </w:r>
            <w:r w:rsidRPr="00951688">
              <w:rPr>
                <w:rFonts w:ascii="Calibri" w:hAnsi="Calibri" w:cs="Calibri"/>
                <w:color w:val="000000"/>
                <w:lang w:val="en-US"/>
              </w:rPr>
              <w:t>institution</w:t>
            </w:r>
            <w:r w:rsidR="00847748">
              <w:rPr>
                <w:rFonts w:ascii="Calibri" w:hAnsi="Calibri" w:cs="Calibri"/>
                <w:color w:val="000000"/>
                <w:lang w:val="en-US"/>
              </w:rPr>
              <w:t>.</w:t>
            </w:r>
          </w:p>
        </w:tc>
        <w:tc>
          <w:tcPr>
            <w:tcW w:w="1275" w:type="dxa"/>
          </w:tcPr>
          <w:p w14:paraId="7A63DEC6" w14:textId="77777777" w:rsidR="002F3793" w:rsidRPr="00295056" w:rsidRDefault="002F3793" w:rsidP="00311051">
            <w:pPr>
              <w:rPr>
                <w:rFonts w:ascii="Calibri" w:hAnsi="Calibri" w:cs="Calibri"/>
                <w:lang w:val="en-US"/>
              </w:rPr>
            </w:pPr>
          </w:p>
        </w:tc>
        <w:tc>
          <w:tcPr>
            <w:tcW w:w="1834" w:type="dxa"/>
          </w:tcPr>
          <w:p w14:paraId="646655BA" w14:textId="77777777" w:rsidR="002F3793" w:rsidRPr="00295056" w:rsidRDefault="002F3793" w:rsidP="00311051">
            <w:pPr>
              <w:rPr>
                <w:rFonts w:ascii="Calibri" w:hAnsi="Calibri" w:cs="Calibri"/>
                <w:lang w:val="en-US"/>
              </w:rPr>
            </w:pPr>
          </w:p>
        </w:tc>
        <w:tc>
          <w:tcPr>
            <w:tcW w:w="4242" w:type="dxa"/>
          </w:tcPr>
          <w:p w14:paraId="44F3ADE4" w14:textId="77777777" w:rsidR="002F3793" w:rsidRPr="00295056" w:rsidRDefault="002F3793" w:rsidP="00311051">
            <w:pPr>
              <w:rPr>
                <w:rFonts w:ascii="Calibri" w:hAnsi="Calibri" w:cs="Calibri"/>
                <w:lang w:val="en-US"/>
              </w:rPr>
            </w:pPr>
          </w:p>
        </w:tc>
      </w:tr>
      <w:tr w:rsidR="00862E18" w:rsidRPr="009D0367" w14:paraId="57DA29B9" w14:textId="77777777" w:rsidTr="00425363">
        <w:tc>
          <w:tcPr>
            <w:tcW w:w="778" w:type="dxa"/>
          </w:tcPr>
          <w:p w14:paraId="11ECF315" w14:textId="2C7B3A9B" w:rsidR="00862E18" w:rsidRDefault="009F1871" w:rsidP="00311051">
            <w:pPr>
              <w:rPr>
                <w:rFonts w:ascii="Calibri" w:hAnsi="Calibri" w:cs="Calibri"/>
                <w:lang w:val="en-US"/>
              </w:rPr>
            </w:pPr>
            <w:r>
              <w:rPr>
                <w:rFonts w:ascii="Calibri" w:hAnsi="Calibri" w:cs="Calibri"/>
                <w:lang w:val="en-US"/>
              </w:rPr>
              <w:t xml:space="preserve">19. </w:t>
            </w:r>
          </w:p>
        </w:tc>
        <w:tc>
          <w:tcPr>
            <w:tcW w:w="5210" w:type="dxa"/>
          </w:tcPr>
          <w:p w14:paraId="4A362F51" w14:textId="1249363E" w:rsidR="00862E18" w:rsidRDefault="009F1871" w:rsidP="00847748">
            <w:pPr>
              <w:rPr>
                <w:rFonts w:ascii="Calibri" w:hAnsi="Calibri" w:cs="Calibri"/>
                <w:color w:val="000000"/>
                <w:lang w:val="en-US"/>
              </w:rPr>
            </w:pPr>
            <w:r>
              <w:rPr>
                <w:rFonts w:ascii="Calibri" w:hAnsi="Calibri" w:cs="Calibri"/>
                <w:color w:val="000000"/>
                <w:lang w:val="en-US"/>
              </w:rPr>
              <w:t>The right of the internal audit function to review the outsourced function using a risk-based approach.</w:t>
            </w:r>
          </w:p>
        </w:tc>
        <w:tc>
          <w:tcPr>
            <w:tcW w:w="1275" w:type="dxa"/>
          </w:tcPr>
          <w:p w14:paraId="1BC2033B" w14:textId="77777777" w:rsidR="00862E18" w:rsidRPr="00295056" w:rsidRDefault="00862E18" w:rsidP="00311051">
            <w:pPr>
              <w:rPr>
                <w:rFonts w:ascii="Calibri" w:hAnsi="Calibri" w:cs="Calibri"/>
                <w:lang w:val="en-US"/>
              </w:rPr>
            </w:pPr>
          </w:p>
        </w:tc>
        <w:tc>
          <w:tcPr>
            <w:tcW w:w="1834" w:type="dxa"/>
          </w:tcPr>
          <w:p w14:paraId="7D02A8E0" w14:textId="77777777" w:rsidR="00862E18" w:rsidRPr="00295056" w:rsidRDefault="00862E18" w:rsidP="00311051">
            <w:pPr>
              <w:rPr>
                <w:rFonts w:ascii="Calibri" w:hAnsi="Calibri" w:cs="Calibri"/>
                <w:lang w:val="en-US"/>
              </w:rPr>
            </w:pPr>
          </w:p>
        </w:tc>
        <w:tc>
          <w:tcPr>
            <w:tcW w:w="4242" w:type="dxa"/>
          </w:tcPr>
          <w:p w14:paraId="6A158D49" w14:textId="77777777" w:rsidR="00862E18" w:rsidRPr="00295056" w:rsidRDefault="00862E18" w:rsidP="00311051">
            <w:pPr>
              <w:rPr>
                <w:rFonts w:ascii="Calibri" w:hAnsi="Calibri" w:cs="Calibri"/>
                <w:lang w:val="en-US"/>
              </w:rPr>
            </w:pPr>
          </w:p>
        </w:tc>
      </w:tr>
      <w:tr w:rsidR="00862E18" w:rsidRPr="009D0367" w14:paraId="79220616" w14:textId="77777777" w:rsidTr="00425363">
        <w:tc>
          <w:tcPr>
            <w:tcW w:w="778" w:type="dxa"/>
          </w:tcPr>
          <w:p w14:paraId="1B246B51" w14:textId="126C07F5" w:rsidR="00862E18" w:rsidRDefault="00FE3497" w:rsidP="00311051">
            <w:pPr>
              <w:rPr>
                <w:rFonts w:ascii="Calibri" w:hAnsi="Calibri" w:cs="Calibri"/>
                <w:lang w:val="en-US"/>
              </w:rPr>
            </w:pPr>
            <w:r>
              <w:rPr>
                <w:rFonts w:ascii="Calibri" w:hAnsi="Calibri" w:cs="Calibri"/>
                <w:lang w:val="en-US"/>
              </w:rPr>
              <w:t>20.</w:t>
            </w:r>
          </w:p>
        </w:tc>
        <w:tc>
          <w:tcPr>
            <w:tcW w:w="5210" w:type="dxa"/>
          </w:tcPr>
          <w:p w14:paraId="5F35B094" w14:textId="1348A251" w:rsidR="00862E18" w:rsidRDefault="00845DF8" w:rsidP="004B59A5">
            <w:pPr>
              <w:rPr>
                <w:rFonts w:ascii="Calibri" w:hAnsi="Calibri" w:cs="Calibri"/>
                <w:color w:val="000000"/>
                <w:lang w:val="en-US"/>
              </w:rPr>
            </w:pPr>
            <w:r>
              <w:rPr>
                <w:rFonts w:ascii="Calibri" w:hAnsi="Calibri" w:cs="Calibri"/>
                <w:color w:val="000000"/>
                <w:lang w:val="en-US"/>
              </w:rPr>
              <w:t>With respect to service providers located in a Member State: a</w:t>
            </w:r>
            <w:r w:rsidR="00FE3497">
              <w:rPr>
                <w:rFonts w:ascii="Calibri" w:hAnsi="Calibri" w:cs="Calibri"/>
                <w:color w:val="000000"/>
                <w:lang w:val="en-US"/>
              </w:rPr>
              <w:t xml:space="preserve"> reference </w:t>
            </w:r>
            <w:r w:rsidR="00FE3497" w:rsidRPr="00FE3497">
              <w:rPr>
                <w:rFonts w:ascii="Calibri" w:hAnsi="Calibri" w:cs="Calibri"/>
                <w:color w:val="000000"/>
                <w:lang w:val="en-US"/>
              </w:rPr>
              <w:t>to the information gathering and investigatory powers of competent authorities and resolution authorities under</w:t>
            </w:r>
            <w:r w:rsidR="00FE3497">
              <w:rPr>
                <w:rFonts w:ascii="Calibri" w:hAnsi="Calibri" w:cs="Calibri"/>
                <w:color w:val="000000"/>
                <w:lang w:val="en-US"/>
              </w:rPr>
              <w:t xml:space="preserve"> </w:t>
            </w:r>
            <w:r w:rsidR="00FE3497" w:rsidRPr="00FE3497">
              <w:rPr>
                <w:rFonts w:ascii="Calibri" w:hAnsi="Calibri" w:cs="Calibri"/>
                <w:color w:val="000000"/>
                <w:lang w:val="en-US"/>
              </w:rPr>
              <w:t xml:space="preserve">Article 63(1)(a) of Directive 2014/59/EU </w:t>
            </w:r>
            <w:r w:rsidR="00B10583">
              <w:rPr>
                <w:rFonts w:ascii="Calibri" w:hAnsi="Calibri" w:cs="Calibri"/>
                <w:color w:val="000000"/>
                <w:lang w:val="en-US"/>
              </w:rPr>
              <w:t xml:space="preserve">(BRRD) </w:t>
            </w:r>
            <w:r w:rsidR="00FE3497" w:rsidRPr="00FE3497">
              <w:rPr>
                <w:rFonts w:ascii="Calibri" w:hAnsi="Calibri" w:cs="Calibri"/>
                <w:color w:val="000000"/>
                <w:lang w:val="en-US"/>
              </w:rPr>
              <w:t xml:space="preserve">and Article 65(3) of Directive 2013/36/EU </w:t>
            </w:r>
            <w:r w:rsidR="00B9573E">
              <w:rPr>
                <w:rFonts w:ascii="Calibri" w:hAnsi="Calibri" w:cs="Calibri"/>
                <w:color w:val="000000"/>
                <w:lang w:val="en-US"/>
              </w:rPr>
              <w:t>(CRD IV)</w:t>
            </w:r>
            <w:r w:rsidR="004B1AF6">
              <w:rPr>
                <w:rFonts w:ascii="Calibri" w:hAnsi="Calibri" w:cs="Calibri"/>
                <w:color w:val="000000"/>
                <w:lang w:val="en-US"/>
              </w:rPr>
              <w:t>. If the service provider is located in a third country, the</w:t>
            </w:r>
            <w:r w:rsidR="004B59A5">
              <w:rPr>
                <w:rFonts w:ascii="Calibri" w:hAnsi="Calibri" w:cs="Calibri"/>
                <w:color w:val="000000"/>
                <w:lang w:val="en-US"/>
              </w:rPr>
              <w:t>se rights should also apply.</w:t>
            </w:r>
          </w:p>
        </w:tc>
        <w:tc>
          <w:tcPr>
            <w:tcW w:w="1275" w:type="dxa"/>
          </w:tcPr>
          <w:p w14:paraId="29C419C6" w14:textId="77777777" w:rsidR="00862E18" w:rsidRPr="00295056" w:rsidRDefault="00862E18" w:rsidP="00311051">
            <w:pPr>
              <w:rPr>
                <w:rFonts w:ascii="Calibri" w:hAnsi="Calibri" w:cs="Calibri"/>
                <w:lang w:val="en-US"/>
              </w:rPr>
            </w:pPr>
          </w:p>
        </w:tc>
        <w:tc>
          <w:tcPr>
            <w:tcW w:w="1834" w:type="dxa"/>
          </w:tcPr>
          <w:p w14:paraId="631D8C02" w14:textId="77777777" w:rsidR="00862E18" w:rsidRPr="00295056" w:rsidRDefault="00862E18" w:rsidP="00311051">
            <w:pPr>
              <w:rPr>
                <w:rFonts w:ascii="Calibri" w:hAnsi="Calibri" w:cs="Calibri"/>
                <w:lang w:val="en-US"/>
              </w:rPr>
            </w:pPr>
          </w:p>
        </w:tc>
        <w:tc>
          <w:tcPr>
            <w:tcW w:w="4242" w:type="dxa"/>
          </w:tcPr>
          <w:p w14:paraId="7F9102B6" w14:textId="77777777" w:rsidR="00862E18" w:rsidRPr="00295056" w:rsidRDefault="00862E18" w:rsidP="00311051">
            <w:pPr>
              <w:rPr>
                <w:rFonts w:ascii="Calibri" w:hAnsi="Calibri" w:cs="Calibri"/>
                <w:lang w:val="en-US"/>
              </w:rPr>
            </w:pPr>
          </w:p>
        </w:tc>
      </w:tr>
      <w:tr w:rsidR="00987305" w:rsidRPr="009D0367" w14:paraId="0D93682F" w14:textId="77777777" w:rsidTr="00425363">
        <w:tc>
          <w:tcPr>
            <w:tcW w:w="778" w:type="dxa"/>
          </w:tcPr>
          <w:p w14:paraId="50BDDEC7" w14:textId="1B78CBA9" w:rsidR="00987305" w:rsidRDefault="003056EC" w:rsidP="00311051">
            <w:pPr>
              <w:rPr>
                <w:rFonts w:ascii="Calibri" w:hAnsi="Calibri" w:cs="Calibri"/>
                <w:lang w:val="en-US"/>
              </w:rPr>
            </w:pPr>
            <w:r>
              <w:rPr>
                <w:rFonts w:ascii="Calibri" w:hAnsi="Calibri" w:cs="Calibri"/>
                <w:lang w:val="en-US"/>
              </w:rPr>
              <w:t>21.</w:t>
            </w:r>
          </w:p>
        </w:tc>
        <w:tc>
          <w:tcPr>
            <w:tcW w:w="5210" w:type="dxa"/>
          </w:tcPr>
          <w:p w14:paraId="1F185728" w14:textId="161C1AFA" w:rsidR="00987305" w:rsidRDefault="003056EC" w:rsidP="004B59A5">
            <w:pPr>
              <w:rPr>
                <w:rFonts w:ascii="Calibri" w:hAnsi="Calibri" w:cs="Calibri"/>
                <w:color w:val="000000"/>
                <w:lang w:val="en-US"/>
              </w:rPr>
            </w:pPr>
            <w:r>
              <w:rPr>
                <w:rFonts w:ascii="Calibri" w:hAnsi="Calibri" w:cs="Calibri"/>
                <w:color w:val="000000"/>
                <w:lang w:val="en-US"/>
              </w:rPr>
              <w:t xml:space="preserve">The ability </w:t>
            </w:r>
            <w:r w:rsidR="00CD303A">
              <w:rPr>
                <w:rFonts w:ascii="Calibri" w:hAnsi="Calibri" w:cs="Calibri"/>
                <w:color w:val="000000"/>
                <w:lang w:val="en-US"/>
              </w:rPr>
              <w:t>of the institution to carry out security penetration testing to assess the effectiveness of implemented cyber and internal ICT security measures and procedures.</w:t>
            </w:r>
          </w:p>
        </w:tc>
        <w:tc>
          <w:tcPr>
            <w:tcW w:w="1275" w:type="dxa"/>
          </w:tcPr>
          <w:p w14:paraId="03D44B5D" w14:textId="77777777" w:rsidR="00987305" w:rsidRPr="00295056" w:rsidRDefault="00987305" w:rsidP="00311051">
            <w:pPr>
              <w:rPr>
                <w:rFonts w:ascii="Calibri" w:hAnsi="Calibri" w:cs="Calibri"/>
                <w:lang w:val="en-US"/>
              </w:rPr>
            </w:pPr>
          </w:p>
        </w:tc>
        <w:tc>
          <w:tcPr>
            <w:tcW w:w="1834" w:type="dxa"/>
          </w:tcPr>
          <w:p w14:paraId="025BDA3F" w14:textId="77777777" w:rsidR="00987305" w:rsidRPr="00295056" w:rsidRDefault="00987305" w:rsidP="00311051">
            <w:pPr>
              <w:rPr>
                <w:rFonts w:ascii="Calibri" w:hAnsi="Calibri" w:cs="Calibri"/>
                <w:lang w:val="en-US"/>
              </w:rPr>
            </w:pPr>
          </w:p>
        </w:tc>
        <w:tc>
          <w:tcPr>
            <w:tcW w:w="4242" w:type="dxa"/>
          </w:tcPr>
          <w:p w14:paraId="18D063DA" w14:textId="77777777" w:rsidR="00987305" w:rsidRPr="00295056" w:rsidRDefault="00987305" w:rsidP="00311051">
            <w:pPr>
              <w:rPr>
                <w:rFonts w:ascii="Calibri" w:hAnsi="Calibri" w:cs="Calibri"/>
                <w:lang w:val="en-US"/>
              </w:rPr>
            </w:pPr>
          </w:p>
        </w:tc>
      </w:tr>
      <w:tr w:rsidR="003B6F7A" w:rsidRPr="009D0367" w14:paraId="325AA9E8" w14:textId="77777777" w:rsidTr="003B6F7A">
        <w:tc>
          <w:tcPr>
            <w:tcW w:w="13339" w:type="dxa"/>
            <w:gridSpan w:val="5"/>
            <w:shd w:val="clear" w:color="auto" w:fill="7030A0"/>
          </w:tcPr>
          <w:p w14:paraId="3D1D9144" w14:textId="09762911" w:rsidR="003B6F7A" w:rsidRPr="003911F2" w:rsidRDefault="0071674B" w:rsidP="00311051">
            <w:pPr>
              <w:rPr>
                <w:rFonts w:ascii="Calibri" w:hAnsi="Calibri" w:cs="Calibri"/>
                <w:b/>
                <w:bCs/>
                <w:sz w:val="24"/>
                <w:szCs w:val="24"/>
                <w:lang w:val="en-US"/>
              </w:rPr>
            </w:pPr>
            <w:r>
              <w:rPr>
                <w:rFonts w:ascii="Calibri" w:hAnsi="Calibri" w:cs="Calibri"/>
                <w:b/>
                <w:bCs/>
                <w:color w:val="FFFFFF" w:themeColor="background1"/>
                <w:sz w:val="24"/>
                <w:szCs w:val="24"/>
                <w:lang w:val="en-US"/>
              </w:rPr>
              <w:t xml:space="preserve">EBA outsourcing guidelines </w:t>
            </w:r>
            <w:r w:rsidR="00646D31">
              <w:rPr>
                <w:rFonts w:ascii="Calibri" w:hAnsi="Calibri" w:cs="Calibri"/>
                <w:b/>
                <w:bCs/>
                <w:color w:val="FFFFFF" w:themeColor="background1"/>
                <w:sz w:val="24"/>
                <w:szCs w:val="24"/>
                <w:lang w:val="en-US"/>
              </w:rPr>
              <w:t xml:space="preserve">- </w:t>
            </w:r>
            <w:r w:rsidR="00A078A8" w:rsidRPr="003911F2">
              <w:rPr>
                <w:rFonts w:ascii="Calibri" w:hAnsi="Calibri" w:cs="Calibri"/>
                <w:b/>
                <w:bCs/>
                <w:color w:val="FFFFFF" w:themeColor="background1"/>
                <w:sz w:val="24"/>
                <w:szCs w:val="24"/>
                <w:lang w:val="en-US"/>
              </w:rPr>
              <w:t>For critical or important functions - GENERAL</w:t>
            </w:r>
          </w:p>
        </w:tc>
      </w:tr>
      <w:tr w:rsidR="009D0F1D" w:rsidRPr="009D0367" w14:paraId="3851A601" w14:textId="77777777" w:rsidTr="00656B40">
        <w:tc>
          <w:tcPr>
            <w:tcW w:w="13339" w:type="dxa"/>
            <w:gridSpan w:val="5"/>
          </w:tcPr>
          <w:p w14:paraId="09080314" w14:textId="77777777" w:rsidR="009D0F1D" w:rsidRDefault="009D0F1D" w:rsidP="00311051">
            <w:pPr>
              <w:rPr>
                <w:rFonts w:ascii="Calibri" w:hAnsi="Calibri" w:cs="Calibri"/>
                <w:lang w:val="en-US"/>
              </w:rPr>
            </w:pPr>
            <w:r>
              <w:rPr>
                <w:rFonts w:ascii="Calibri" w:hAnsi="Calibri" w:cs="Calibri"/>
                <w:b/>
                <w:bCs/>
                <w:lang w:val="en-US"/>
              </w:rPr>
              <w:t xml:space="preserve">NOTE: </w:t>
            </w:r>
            <w:r w:rsidR="00B7791F" w:rsidRPr="00B7791F">
              <w:rPr>
                <w:rFonts w:ascii="Calibri" w:hAnsi="Calibri" w:cs="Calibri"/>
                <w:lang w:val="en-US"/>
              </w:rPr>
              <w:t>Section</w:t>
            </w:r>
            <w:r w:rsidR="00B7791F">
              <w:rPr>
                <w:rFonts w:ascii="Calibri" w:hAnsi="Calibri" w:cs="Calibri"/>
                <w:lang w:val="en-US"/>
              </w:rPr>
              <w:t xml:space="preserve"> 4 of the EBA outsourcing guidelines set out when a function is considered critical or important.</w:t>
            </w:r>
            <w:r w:rsidR="00527A7E">
              <w:rPr>
                <w:rFonts w:ascii="Calibri" w:hAnsi="Calibri" w:cs="Calibri"/>
                <w:lang w:val="en-US"/>
              </w:rPr>
              <w:t xml:space="preserve"> Institutions should always consider a function as critical or important in the following situations:</w:t>
            </w:r>
          </w:p>
          <w:p w14:paraId="77DDEE1D" w14:textId="646AEC5B" w:rsidR="006570B2" w:rsidRPr="006570B2" w:rsidRDefault="006570B2" w:rsidP="006570B2">
            <w:pPr>
              <w:pStyle w:val="Lijstalinea"/>
              <w:numPr>
                <w:ilvl w:val="0"/>
                <w:numId w:val="2"/>
              </w:numPr>
              <w:rPr>
                <w:rFonts w:ascii="Calibri" w:hAnsi="Calibri" w:cs="Calibri"/>
                <w:lang w:val="en-US"/>
              </w:rPr>
            </w:pPr>
            <w:r w:rsidRPr="006570B2">
              <w:rPr>
                <w:rFonts w:ascii="Calibri" w:hAnsi="Calibri" w:cs="Calibri"/>
                <w:lang w:val="en-US"/>
              </w:rPr>
              <w:t>where a defect or failure in its performance would materially impair:</w:t>
            </w:r>
          </w:p>
          <w:p w14:paraId="62C9BABA" w14:textId="24B5FF5F" w:rsidR="00204CAD" w:rsidRPr="00204CAD" w:rsidRDefault="006570B2" w:rsidP="00646D31">
            <w:pPr>
              <w:pStyle w:val="Lijstalinea"/>
              <w:numPr>
                <w:ilvl w:val="1"/>
                <w:numId w:val="4"/>
              </w:numPr>
              <w:ind w:left="1298" w:hanging="142"/>
              <w:rPr>
                <w:rFonts w:ascii="Calibri" w:hAnsi="Calibri" w:cs="Calibri"/>
                <w:lang w:val="en-US"/>
              </w:rPr>
            </w:pPr>
            <w:r w:rsidRPr="006570B2">
              <w:rPr>
                <w:rFonts w:ascii="Calibri" w:hAnsi="Calibri" w:cs="Calibri"/>
                <w:lang w:val="en-US"/>
              </w:rPr>
              <w:t>the</w:t>
            </w:r>
            <w:r>
              <w:rPr>
                <w:rFonts w:ascii="Calibri" w:hAnsi="Calibri" w:cs="Calibri"/>
                <w:lang w:val="en-US"/>
              </w:rPr>
              <w:t xml:space="preserve"> (payment) institution’s </w:t>
            </w:r>
            <w:r w:rsidRPr="006570B2">
              <w:rPr>
                <w:rFonts w:ascii="Calibri" w:hAnsi="Calibri" w:cs="Calibri"/>
                <w:lang w:val="en-US"/>
              </w:rPr>
              <w:t xml:space="preserve">continuing compliance with the conditions of </w:t>
            </w:r>
            <w:r>
              <w:rPr>
                <w:rFonts w:ascii="Calibri" w:hAnsi="Calibri" w:cs="Calibri"/>
                <w:lang w:val="en-US"/>
              </w:rPr>
              <w:t xml:space="preserve">its </w:t>
            </w:r>
            <w:r w:rsidRPr="006570B2">
              <w:rPr>
                <w:rFonts w:ascii="Calibri" w:hAnsi="Calibri" w:cs="Calibri"/>
                <w:lang w:val="en-US"/>
              </w:rPr>
              <w:t>authorisation or its other obligations under Directive 2013/36/EU</w:t>
            </w:r>
            <w:r>
              <w:rPr>
                <w:rFonts w:ascii="Calibri" w:hAnsi="Calibri" w:cs="Calibri"/>
                <w:lang w:val="en-US"/>
              </w:rPr>
              <w:t xml:space="preserve"> (</w:t>
            </w:r>
            <w:r w:rsidR="00B118C6">
              <w:rPr>
                <w:rFonts w:ascii="Calibri" w:hAnsi="Calibri" w:cs="Calibri"/>
                <w:lang w:val="en-US"/>
              </w:rPr>
              <w:t>CRD IV)</w:t>
            </w:r>
            <w:r w:rsidRPr="006570B2">
              <w:rPr>
                <w:rFonts w:ascii="Calibri" w:hAnsi="Calibri" w:cs="Calibri"/>
                <w:lang w:val="en-US"/>
              </w:rPr>
              <w:t>, Regulation (EU) No 575/2013</w:t>
            </w:r>
            <w:r w:rsidR="007A2193">
              <w:rPr>
                <w:rFonts w:ascii="Calibri" w:hAnsi="Calibri" w:cs="Calibri"/>
                <w:lang w:val="en-US"/>
              </w:rPr>
              <w:t xml:space="preserve"> (CRR)</w:t>
            </w:r>
            <w:r w:rsidRPr="006570B2">
              <w:rPr>
                <w:rFonts w:ascii="Calibri" w:hAnsi="Calibri" w:cs="Calibri"/>
                <w:lang w:val="en-US"/>
              </w:rPr>
              <w:t>,</w:t>
            </w:r>
            <w:r w:rsidR="007A2193">
              <w:rPr>
                <w:rFonts w:ascii="Calibri" w:hAnsi="Calibri" w:cs="Calibri"/>
                <w:lang w:val="en-US"/>
              </w:rPr>
              <w:t xml:space="preserve"> </w:t>
            </w:r>
            <w:r w:rsidR="00204CAD" w:rsidRPr="00204CAD">
              <w:rPr>
                <w:rFonts w:ascii="Calibri" w:hAnsi="Calibri" w:cs="Calibri"/>
                <w:lang w:val="en-US"/>
              </w:rPr>
              <w:t>Directive 2014/65/EU</w:t>
            </w:r>
            <w:r w:rsidR="00204CAD">
              <w:rPr>
                <w:rFonts w:ascii="Calibri" w:hAnsi="Calibri" w:cs="Calibri"/>
                <w:lang w:val="en-US"/>
              </w:rPr>
              <w:t xml:space="preserve"> (MiFID II)</w:t>
            </w:r>
            <w:r w:rsidR="00204CAD" w:rsidRPr="00204CAD">
              <w:rPr>
                <w:rFonts w:ascii="Calibri" w:hAnsi="Calibri" w:cs="Calibri"/>
                <w:lang w:val="en-US"/>
              </w:rPr>
              <w:t xml:space="preserve">, Directive (EU) 2015/2366 </w:t>
            </w:r>
            <w:r w:rsidR="00836D64">
              <w:rPr>
                <w:rFonts w:ascii="Calibri" w:hAnsi="Calibri" w:cs="Calibri"/>
                <w:lang w:val="en-US"/>
              </w:rPr>
              <w:t xml:space="preserve">(PSD2) </w:t>
            </w:r>
            <w:r w:rsidR="00204CAD" w:rsidRPr="00204CAD">
              <w:rPr>
                <w:rFonts w:ascii="Calibri" w:hAnsi="Calibri" w:cs="Calibri"/>
                <w:lang w:val="en-US"/>
              </w:rPr>
              <w:t xml:space="preserve">and Directive 2009/110/EC </w:t>
            </w:r>
            <w:r w:rsidR="00836D64">
              <w:rPr>
                <w:rFonts w:ascii="Calibri" w:hAnsi="Calibri" w:cs="Calibri"/>
                <w:lang w:val="en-US"/>
              </w:rPr>
              <w:t xml:space="preserve">(EMD 2) </w:t>
            </w:r>
            <w:r w:rsidR="00204CAD" w:rsidRPr="00204CAD">
              <w:rPr>
                <w:rFonts w:ascii="Calibri" w:hAnsi="Calibri" w:cs="Calibri"/>
                <w:lang w:val="en-US"/>
              </w:rPr>
              <w:t xml:space="preserve">and </w:t>
            </w:r>
            <w:r w:rsidR="00836D64">
              <w:rPr>
                <w:rFonts w:ascii="Calibri" w:hAnsi="Calibri" w:cs="Calibri"/>
                <w:lang w:val="en-US"/>
              </w:rPr>
              <w:t>its</w:t>
            </w:r>
            <w:r w:rsidR="00204CAD" w:rsidRPr="00204CAD">
              <w:rPr>
                <w:rFonts w:ascii="Calibri" w:hAnsi="Calibri" w:cs="Calibri"/>
                <w:lang w:val="en-US"/>
              </w:rPr>
              <w:t xml:space="preserve"> regulatory obligations;</w:t>
            </w:r>
          </w:p>
          <w:p w14:paraId="700D5572" w14:textId="39DAA520" w:rsidR="00204CAD" w:rsidRPr="00204CAD" w:rsidRDefault="00836D64" w:rsidP="00646D31">
            <w:pPr>
              <w:pStyle w:val="Lijstalinea"/>
              <w:numPr>
                <w:ilvl w:val="1"/>
                <w:numId w:val="4"/>
              </w:numPr>
              <w:ind w:left="1298" w:hanging="142"/>
              <w:rPr>
                <w:rFonts w:ascii="Calibri" w:hAnsi="Calibri" w:cs="Calibri"/>
                <w:lang w:val="en-US"/>
              </w:rPr>
            </w:pPr>
            <w:r>
              <w:rPr>
                <w:rFonts w:ascii="Calibri" w:hAnsi="Calibri" w:cs="Calibri"/>
                <w:lang w:val="en-US"/>
              </w:rPr>
              <w:t>its</w:t>
            </w:r>
            <w:r w:rsidR="00204CAD" w:rsidRPr="00204CAD">
              <w:rPr>
                <w:rFonts w:ascii="Calibri" w:hAnsi="Calibri" w:cs="Calibri"/>
                <w:lang w:val="en-US"/>
              </w:rPr>
              <w:t xml:space="preserve"> financial performance; or</w:t>
            </w:r>
          </w:p>
          <w:p w14:paraId="11184706" w14:textId="2CB6E942" w:rsidR="00527A7E" w:rsidRDefault="00204CAD" w:rsidP="00646D31">
            <w:pPr>
              <w:pStyle w:val="Lijstalinea"/>
              <w:numPr>
                <w:ilvl w:val="1"/>
                <w:numId w:val="4"/>
              </w:numPr>
              <w:ind w:left="1298" w:hanging="142"/>
              <w:rPr>
                <w:rFonts w:ascii="Calibri" w:hAnsi="Calibri" w:cs="Calibri"/>
                <w:lang w:val="en-US"/>
              </w:rPr>
            </w:pPr>
            <w:r w:rsidRPr="00204CAD">
              <w:rPr>
                <w:rFonts w:ascii="Calibri" w:hAnsi="Calibri" w:cs="Calibri"/>
                <w:lang w:val="en-US"/>
              </w:rPr>
              <w:t xml:space="preserve">the soundness or continuity of </w:t>
            </w:r>
            <w:r w:rsidR="00836D64">
              <w:rPr>
                <w:rFonts w:ascii="Calibri" w:hAnsi="Calibri" w:cs="Calibri"/>
                <w:lang w:val="en-US"/>
              </w:rPr>
              <w:t>its</w:t>
            </w:r>
            <w:r w:rsidRPr="00204CAD">
              <w:rPr>
                <w:rFonts w:ascii="Calibri" w:hAnsi="Calibri" w:cs="Calibri"/>
                <w:lang w:val="en-US"/>
              </w:rPr>
              <w:t xml:space="preserve"> banking and payment services and activities</w:t>
            </w:r>
            <w:r w:rsidR="00836D64">
              <w:rPr>
                <w:rFonts w:ascii="Calibri" w:hAnsi="Calibri" w:cs="Calibri"/>
                <w:lang w:val="en-US"/>
              </w:rPr>
              <w:t>.</w:t>
            </w:r>
          </w:p>
          <w:p w14:paraId="6BE3E59E" w14:textId="14C30598" w:rsidR="00EB2716" w:rsidRPr="00EB2716" w:rsidRDefault="00EB2716" w:rsidP="00EB2716">
            <w:pPr>
              <w:pStyle w:val="Lijstalinea"/>
              <w:numPr>
                <w:ilvl w:val="0"/>
                <w:numId w:val="2"/>
              </w:numPr>
              <w:rPr>
                <w:rFonts w:ascii="Calibri" w:hAnsi="Calibri" w:cs="Calibri"/>
                <w:lang w:val="en-US"/>
              </w:rPr>
            </w:pPr>
            <w:r w:rsidRPr="00EB2716">
              <w:rPr>
                <w:rFonts w:ascii="Calibri" w:hAnsi="Calibri" w:cs="Calibri"/>
                <w:lang w:val="en-US"/>
              </w:rPr>
              <w:lastRenderedPageBreak/>
              <w:t>when operational tasks of internal control functions are outsourced, unless the assessment establishes that a failure to provide the outsourced function or the inappropriate provision of the outsourced function would not have an adverse impact on the effectiveness of the internal control function;</w:t>
            </w:r>
          </w:p>
          <w:p w14:paraId="0CB28980" w14:textId="1C526853" w:rsidR="00EB2716" w:rsidRPr="00EB2716" w:rsidRDefault="00EB2716" w:rsidP="008F1E10">
            <w:pPr>
              <w:pStyle w:val="Lijstalinea"/>
              <w:numPr>
                <w:ilvl w:val="0"/>
                <w:numId w:val="2"/>
              </w:numPr>
              <w:rPr>
                <w:rFonts w:ascii="Calibri" w:hAnsi="Calibri" w:cs="Calibri"/>
                <w:b/>
                <w:bCs/>
                <w:lang w:val="en-US"/>
              </w:rPr>
            </w:pPr>
            <w:r w:rsidRPr="00EB2716">
              <w:rPr>
                <w:rFonts w:ascii="Calibri" w:hAnsi="Calibri" w:cs="Calibri"/>
                <w:lang w:val="en-US"/>
              </w:rPr>
              <w:t>when the (payment) institutions intends to outsource functions of banking activities or payment services to an extent that would require authorisation by a competent authorit</w:t>
            </w:r>
            <w:r w:rsidR="008F1E10">
              <w:rPr>
                <w:rFonts w:ascii="Calibri" w:hAnsi="Calibri" w:cs="Calibri"/>
                <w:lang w:val="en-US"/>
              </w:rPr>
              <w:t>y.</w:t>
            </w:r>
          </w:p>
        </w:tc>
      </w:tr>
      <w:tr w:rsidR="00FB521A" w:rsidRPr="009D0367" w14:paraId="51DEABB2" w14:textId="77777777" w:rsidTr="00425363">
        <w:tc>
          <w:tcPr>
            <w:tcW w:w="778" w:type="dxa"/>
          </w:tcPr>
          <w:p w14:paraId="6A4648B5" w14:textId="4CDDA9F5" w:rsidR="00FB521A" w:rsidRPr="00295056" w:rsidRDefault="00023EBA" w:rsidP="00311051">
            <w:pPr>
              <w:rPr>
                <w:rFonts w:ascii="Calibri" w:hAnsi="Calibri" w:cs="Calibri"/>
                <w:sz w:val="24"/>
                <w:szCs w:val="24"/>
                <w:lang w:val="en-US"/>
              </w:rPr>
            </w:pPr>
            <w:r>
              <w:rPr>
                <w:rFonts w:ascii="Calibri" w:hAnsi="Calibri" w:cs="Calibri"/>
                <w:sz w:val="24"/>
                <w:szCs w:val="24"/>
                <w:lang w:val="en-US"/>
              </w:rPr>
              <w:lastRenderedPageBreak/>
              <w:t>22</w:t>
            </w:r>
            <w:r w:rsidR="00A55EE3" w:rsidRPr="00295056">
              <w:rPr>
                <w:rFonts w:ascii="Calibri" w:hAnsi="Calibri" w:cs="Calibri"/>
                <w:sz w:val="24"/>
                <w:szCs w:val="24"/>
                <w:lang w:val="en-US"/>
              </w:rPr>
              <w:t>.</w:t>
            </w:r>
          </w:p>
        </w:tc>
        <w:tc>
          <w:tcPr>
            <w:tcW w:w="5210" w:type="dxa"/>
          </w:tcPr>
          <w:p w14:paraId="256030CE" w14:textId="30502FED" w:rsidR="00FB521A" w:rsidRPr="00295056" w:rsidRDefault="00A55EE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Whether sub-outsourcing is permitted and, if so, under which conditions. Any types of activities that are excluded from sub-outsourcing should be specified.</w:t>
            </w:r>
          </w:p>
        </w:tc>
        <w:tc>
          <w:tcPr>
            <w:tcW w:w="1275" w:type="dxa"/>
          </w:tcPr>
          <w:p w14:paraId="763D1BA2" w14:textId="77777777" w:rsidR="00FB521A" w:rsidRPr="00295056" w:rsidRDefault="00FB521A" w:rsidP="00311051">
            <w:pPr>
              <w:rPr>
                <w:rFonts w:ascii="Calibri" w:hAnsi="Calibri" w:cs="Calibri"/>
                <w:sz w:val="24"/>
                <w:szCs w:val="24"/>
                <w:lang w:val="en-US"/>
              </w:rPr>
            </w:pPr>
          </w:p>
        </w:tc>
        <w:tc>
          <w:tcPr>
            <w:tcW w:w="1834" w:type="dxa"/>
          </w:tcPr>
          <w:p w14:paraId="215A1D06" w14:textId="77777777" w:rsidR="00FB521A" w:rsidRPr="00295056" w:rsidRDefault="00FB521A" w:rsidP="00311051">
            <w:pPr>
              <w:rPr>
                <w:rFonts w:ascii="Calibri" w:hAnsi="Calibri" w:cs="Calibri"/>
                <w:sz w:val="24"/>
                <w:szCs w:val="24"/>
                <w:lang w:val="en-US"/>
              </w:rPr>
            </w:pPr>
          </w:p>
        </w:tc>
        <w:tc>
          <w:tcPr>
            <w:tcW w:w="4242" w:type="dxa"/>
          </w:tcPr>
          <w:p w14:paraId="19183CBC" w14:textId="77777777" w:rsidR="00FB521A" w:rsidRPr="00295056" w:rsidRDefault="00FB521A" w:rsidP="00311051">
            <w:pPr>
              <w:rPr>
                <w:rFonts w:ascii="Calibri" w:hAnsi="Calibri" w:cs="Calibri"/>
                <w:sz w:val="24"/>
                <w:szCs w:val="24"/>
                <w:lang w:val="en-US"/>
              </w:rPr>
            </w:pPr>
          </w:p>
        </w:tc>
      </w:tr>
      <w:tr w:rsidR="00FB521A" w:rsidRPr="009D0367" w14:paraId="36828214" w14:textId="77777777" w:rsidTr="00425363">
        <w:tc>
          <w:tcPr>
            <w:tcW w:w="778" w:type="dxa"/>
          </w:tcPr>
          <w:p w14:paraId="20EBEE81" w14:textId="5B3F3AEB" w:rsidR="00FB521A" w:rsidRPr="00295056" w:rsidRDefault="00023EBA" w:rsidP="00311051">
            <w:pPr>
              <w:rPr>
                <w:rFonts w:ascii="Calibri" w:hAnsi="Calibri" w:cs="Calibri"/>
                <w:sz w:val="24"/>
                <w:szCs w:val="24"/>
                <w:lang w:val="en-US"/>
              </w:rPr>
            </w:pPr>
            <w:r>
              <w:rPr>
                <w:rFonts w:ascii="Calibri" w:hAnsi="Calibri" w:cs="Calibri"/>
                <w:sz w:val="24"/>
                <w:szCs w:val="24"/>
                <w:lang w:val="en-US"/>
              </w:rPr>
              <w:t>23</w:t>
            </w:r>
            <w:r w:rsidR="00A55EE3" w:rsidRPr="00295056">
              <w:rPr>
                <w:rFonts w:ascii="Calibri" w:hAnsi="Calibri" w:cs="Calibri"/>
                <w:sz w:val="24"/>
                <w:szCs w:val="24"/>
                <w:lang w:val="en-US"/>
              </w:rPr>
              <w:t>.</w:t>
            </w:r>
          </w:p>
        </w:tc>
        <w:tc>
          <w:tcPr>
            <w:tcW w:w="5210" w:type="dxa"/>
          </w:tcPr>
          <w:p w14:paraId="162991AC" w14:textId="4120A3EF" w:rsidR="00FB521A" w:rsidRPr="00295056" w:rsidRDefault="00965DCD"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location(s) (i.e. regions or countries) where the services will be provided and/ or where relevant data will be kept and processed, and the conditions to be met, including a requirement to notify the (payment) institution if the locations are changed.</w:t>
            </w:r>
          </w:p>
        </w:tc>
        <w:tc>
          <w:tcPr>
            <w:tcW w:w="1275" w:type="dxa"/>
          </w:tcPr>
          <w:p w14:paraId="53C63FE9" w14:textId="77777777" w:rsidR="00FB521A" w:rsidRPr="00295056" w:rsidRDefault="00FB521A" w:rsidP="00311051">
            <w:pPr>
              <w:rPr>
                <w:rFonts w:ascii="Calibri" w:hAnsi="Calibri" w:cs="Calibri"/>
                <w:sz w:val="24"/>
                <w:szCs w:val="24"/>
                <w:lang w:val="en-US"/>
              </w:rPr>
            </w:pPr>
          </w:p>
        </w:tc>
        <w:tc>
          <w:tcPr>
            <w:tcW w:w="1834" w:type="dxa"/>
          </w:tcPr>
          <w:p w14:paraId="778EB1F8" w14:textId="77777777" w:rsidR="00FB521A" w:rsidRPr="00295056" w:rsidRDefault="00FB521A" w:rsidP="00311051">
            <w:pPr>
              <w:rPr>
                <w:rFonts w:ascii="Calibri" w:hAnsi="Calibri" w:cs="Calibri"/>
                <w:sz w:val="24"/>
                <w:szCs w:val="24"/>
                <w:lang w:val="en-US"/>
              </w:rPr>
            </w:pPr>
          </w:p>
        </w:tc>
        <w:tc>
          <w:tcPr>
            <w:tcW w:w="4242" w:type="dxa"/>
          </w:tcPr>
          <w:p w14:paraId="384E7F9D" w14:textId="77777777" w:rsidR="00FB521A" w:rsidRPr="00295056" w:rsidRDefault="00FB521A" w:rsidP="00311051">
            <w:pPr>
              <w:rPr>
                <w:rFonts w:ascii="Calibri" w:hAnsi="Calibri" w:cs="Calibri"/>
                <w:sz w:val="24"/>
                <w:szCs w:val="24"/>
                <w:lang w:val="en-US"/>
              </w:rPr>
            </w:pPr>
          </w:p>
        </w:tc>
      </w:tr>
      <w:tr w:rsidR="00FB521A" w:rsidRPr="009D0367" w14:paraId="741B655B" w14:textId="77777777" w:rsidTr="00425363">
        <w:tc>
          <w:tcPr>
            <w:tcW w:w="778" w:type="dxa"/>
          </w:tcPr>
          <w:p w14:paraId="0325E591" w14:textId="6B14AEEA" w:rsidR="00FB521A" w:rsidRPr="00295056" w:rsidRDefault="00023EBA" w:rsidP="00311051">
            <w:pPr>
              <w:rPr>
                <w:rFonts w:ascii="Calibri" w:hAnsi="Calibri" w:cs="Calibri"/>
                <w:sz w:val="24"/>
                <w:szCs w:val="24"/>
                <w:lang w:val="en-US"/>
              </w:rPr>
            </w:pPr>
            <w:r>
              <w:rPr>
                <w:rFonts w:ascii="Calibri" w:hAnsi="Calibri" w:cs="Calibri"/>
                <w:sz w:val="24"/>
                <w:szCs w:val="24"/>
                <w:lang w:val="en-US"/>
              </w:rPr>
              <w:t>24</w:t>
            </w:r>
            <w:r w:rsidR="00A55EE3" w:rsidRPr="00295056">
              <w:rPr>
                <w:rFonts w:ascii="Calibri" w:hAnsi="Calibri" w:cs="Calibri"/>
                <w:sz w:val="24"/>
                <w:szCs w:val="24"/>
                <w:lang w:val="en-US"/>
              </w:rPr>
              <w:t>.</w:t>
            </w:r>
          </w:p>
        </w:tc>
        <w:tc>
          <w:tcPr>
            <w:tcW w:w="5210" w:type="dxa"/>
          </w:tcPr>
          <w:p w14:paraId="5FE4A85E" w14:textId="6DA6090A" w:rsidR="00FB521A" w:rsidRPr="00295056" w:rsidRDefault="00FE0781"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unrestricted right of the (payment) institution and competent authorities to inspect and audit the service provider with regard to the critical or important outsourced function, includin</w:t>
            </w:r>
            <w:r w:rsidR="006D092B">
              <w:rPr>
                <w:rFonts w:ascii="Calibri" w:hAnsi="Calibri" w:cs="Calibri"/>
                <w:color w:val="000000"/>
                <w:sz w:val="24"/>
                <w:szCs w:val="24"/>
                <w:lang w:val="en-US"/>
              </w:rPr>
              <w:t>g full access to all relevant business premises</w:t>
            </w:r>
            <w:r w:rsidR="00731D68">
              <w:rPr>
                <w:rFonts w:ascii="Calibri" w:hAnsi="Calibri" w:cs="Calibri"/>
                <w:color w:val="000000"/>
                <w:sz w:val="24"/>
                <w:szCs w:val="24"/>
                <w:lang w:val="en-US"/>
              </w:rPr>
              <w:t xml:space="preserve"> (e.g. head offices and operation centres)</w:t>
            </w:r>
            <w:r w:rsidR="00706101">
              <w:rPr>
                <w:rFonts w:ascii="Calibri" w:hAnsi="Calibri" w:cs="Calibri"/>
                <w:color w:val="000000"/>
                <w:sz w:val="24"/>
                <w:szCs w:val="24"/>
                <w:lang w:val="en-US"/>
              </w:rPr>
              <w:t xml:space="preserve">, </w:t>
            </w:r>
            <w:r w:rsidR="00731D68">
              <w:rPr>
                <w:rFonts w:ascii="Calibri" w:hAnsi="Calibri" w:cs="Calibri"/>
                <w:color w:val="000000"/>
                <w:sz w:val="24"/>
                <w:szCs w:val="24"/>
                <w:lang w:val="en-US"/>
              </w:rPr>
              <w:t>the full range of relevant devices sy</w:t>
            </w:r>
            <w:r w:rsidR="00706101">
              <w:rPr>
                <w:rFonts w:ascii="Calibri" w:hAnsi="Calibri" w:cs="Calibri"/>
                <w:color w:val="000000"/>
                <w:sz w:val="24"/>
                <w:szCs w:val="24"/>
                <w:lang w:val="en-US"/>
              </w:rPr>
              <w:t>s</w:t>
            </w:r>
            <w:r w:rsidR="00731D68">
              <w:rPr>
                <w:rFonts w:ascii="Calibri" w:hAnsi="Calibri" w:cs="Calibri"/>
                <w:color w:val="000000"/>
                <w:sz w:val="24"/>
                <w:szCs w:val="24"/>
                <w:lang w:val="en-US"/>
              </w:rPr>
              <w:t>tems, networks, information and data used for providing the out</w:t>
            </w:r>
            <w:r w:rsidR="00706101">
              <w:rPr>
                <w:rFonts w:ascii="Calibri" w:hAnsi="Calibri" w:cs="Calibri"/>
                <w:color w:val="000000"/>
                <w:sz w:val="24"/>
                <w:szCs w:val="24"/>
                <w:lang w:val="en-US"/>
              </w:rPr>
              <w:t>sourced function</w:t>
            </w:r>
            <w:r w:rsidR="007A6994">
              <w:rPr>
                <w:rFonts w:ascii="Calibri" w:hAnsi="Calibri" w:cs="Calibri"/>
                <w:color w:val="000000"/>
                <w:sz w:val="24"/>
                <w:szCs w:val="24"/>
                <w:lang w:val="en-US"/>
              </w:rPr>
              <w:t xml:space="preserve"> and related financial information, personnel and the service provider’s external auditors</w:t>
            </w:r>
            <w:r w:rsidR="00AF2D2E">
              <w:rPr>
                <w:rFonts w:ascii="Calibri" w:hAnsi="Calibri" w:cs="Calibri"/>
                <w:color w:val="000000"/>
                <w:sz w:val="24"/>
                <w:szCs w:val="24"/>
                <w:lang w:val="en-US"/>
              </w:rPr>
              <w:t>.</w:t>
            </w:r>
          </w:p>
        </w:tc>
        <w:tc>
          <w:tcPr>
            <w:tcW w:w="1275" w:type="dxa"/>
          </w:tcPr>
          <w:p w14:paraId="621BFCEF" w14:textId="77777777" w:rsidR="00FB521A" w:rsidRPr="00295056" w:rsidRDefault="00FB521A" w:rsidP="00311051">
            <w:pPr>
              <w:rPr>
                <w:rFonts w:ascii="Calibri" w:hAnsi="Calibri" w:cs="Calibri"/>
                <w:sz w:val="24"/>
                <w:szCs w:val="24"/>
                <w:lang w:val="en-US"/>
              </w:rPr>
            </w:pPr>
          </w:p>
        </w:tc>
        <w:tc>
          <w:tcPr>
            <w:tcW w:w="1834" w:type="dxa"/>
          </w:tcPr>
          <w:p w14:paraId="66C3450C" w14:textId="77777777" w:rsidR="00FB521A" w:rsidRPr="00295056" w:rsidRDefault="00FB521A" w:rsidP="00311051">
            <w:pPr>
              <w:rPr>
                <w:rFonts w:ascii="Calibri" w:hAnsi="Calibri" w:cs="Calibri"/>
                <w:sz w:val="24"/>
                <w:szCs w:val="24"/>
                <w:lang w:val="en-US"/>
              </w:rPr>
            </w:pPr>
          </w:p>
        </w:tc>
        <w:tc>
          <w:tcPr>
            <w:tcW w:w="4242" w:type="dxa"/>
          </w:tcPr>
          <w:p w14:paraId="6C3CD099" w14:textId="77777777" w:rsidR="00FB521A" w:rsidRPr="00295056" w:rsidRDefault="00FB521A" w:rsidP="00311051">
            <w:pPr>
              <w:rPr>
                <w:rFonts w:ascii="Calibri" w:hAnsi="Calibri" w:cs="Calibri"/>
                <w:sz w:val="24"/>
                <w:szCs w:val="24"/>
                <w:lang w:val="en-US"/>
              </w:rPr>
            </w:pPr>
          </w:p>
        </w:tc>
      </w:tr>
      <w:tr w:rsidR="00FB521A" w:rsidRPr="009D0367" w14:paraId="45FC9ABF" w14:textId="77777777" w:rsidTr="00425363">
        <w:tc>
          <w:tcPr>
            <w:tcW w:w="778" w:type="dxa"/>
          </w:tcPr>
          <w:p w14:paraId="70BD08F2" w14:textId="47567947" w:rsidR="00FB521A" w:rsidRPr="00295056" w:rsidRDefault="00A55EE3" w:rsidP="00311051">
            <w:pPr>
              <w:rPr>
                <w:rFonts w:ascii="Calibri" w:hAnsi="Calibri" w:cs="Calibri"/>
                <w:sz w:val="24"/>
                <w:szCs w:val="24"/>
                <w:lang w:val="en-US"/>
              </w:rPr>
            </w:pPr>
            <w:r w:rsidRPr="00295056">
              <w:rPr>
                <w:rFonts w:ascii="Calibri" w:hAnsi="Calibri" w:cs="Calibri"/>
                <w:sz w:val="24"/>
                <w:szCs w:val="24"/>
                <w:lang w:val="en-US"/>
              </w:rPr>
              <w:t>2</w:t>
            </w:r>
            <w:r w:rsidR="00023EBA">
              <w:rPr>
                <w:rFonts w:ascii="Calibri" w:hAnsi="Calibri" w:cs="Calibri"/>
                <w:sz w:val="24"/>
                <w:szCs w:val="24"/>
                <w:lang w:val="en-US"/>
              </w:rPr>
              <w:t>5</w:t>
            </w:r>
            <w:r w:rsidRPr="00295056">
              <w:rPr>
                <w:rFonts w:ascii="Calibri" w:hAnsi="Calibri" w:cs="Calibri"/>
                <w:sz w:val="24"/>
                <w:szCs w:val="24"/>
                <w:lang w:val="en-US"/>
              </w:rPr>
              <w:t>.</w:t>
            </w:r>
          </w:p>
        </w:tc>
        <w:tc>
          <w:tcPr>
            <w:tcW w:w="5210" w:type="dxa"/>
          </w:tcPr>
          <w:p w14:paraId="1F0D13C4" w14:textId="27D3E746" w:rsidR="00FB521A" w:rsidRPr="00295056" w:rsidRDefault="00FE0781"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obligation of the service provider to comply with all applicable laws, regulatory requirements and contractual obligations</w:t>
            </w:r>
            <w:r w:rsidR="008B59F0">
              <w:rPr>
                <w:rFonts w:ascii="Calibri" w:hAnsi="Calibri" w:cs="Calibri"/>
                <w:color w:val="000000"/>
                <w:sz w:val="24"/>
                <w:szCs w:val="24"/>
                <w:lang w:val="en-US"/>
              </w:rPr>
              <w:t>.</w:t>
            </w:r>
          </w:p>
        </w:tc>
        <w:tc>
          <w:tcPr>
            <w:tcW w:w="1275" w:type="dxa"/>
          </w:tcPr>
          <w:p w14:paraId="53BC16C0" w14:textId="77777777" w:rsidR="00FB521A" w:rsidRPr="00295056" w:rsidRDefault="00FB521A" w:rsidP="00311051">
            <w:pPr>
              <w:rPr>
                <w:rFonts w:ascii="Calibri" w:hAnsi="Calibri" w:cs="Calibri"/>
                <w:sz w:val="24"/>
                <w:szCs w:val="24"/>
                <w:lang w:val="en-US"/>
              </w:rPr>
            </w:pPr>
          </w:p>
        </w:tc>
        <w:tc>
          <w:tcPr>
            <w:tcW w:w="1834" w:type="dxa"/>
          </w:tcPr>
          <w:p w14:paraId="71C1A7B4" w14:textId="77777777" w:rsidR="00FB521A" w:rsidRPr="00295056" w:rsidRDefault="00FB521A" w:rsidP="00311051">
            <w:pPr>
              <w:rPr>
                <w:rFonts w:ascii="Calibri" w:hAnsi="Calibri" w:cs="Calibri"/>
                <w:sz w:val="24"/>
                <w:szCs w:val="24"/>
                <w:lang w:val="en-US"/>
              </w:rPr>
            </w:pPr>
          </w:p>
        </w:tc>
        <w:tc>
          <w:tcPr>
            <w:tcW w:w="4242" w:type="dxa"/>
          </w:tcPr>
          <w:p w14:paraId="2D4B8A12" w14:textId="77777777" w:rsidR="00FB521A" w:rsidRPr="00295056" w:rsidRDefault="00FB521A" w:rsidP="00311051">
            <w:pPr>
              <w:rPr>
                <w:rFonts w:ascii="Calibri" w:hAnsi="Calibri" w:cs="Calibri"/>
                <w:sz w:val="24"/>
                <w:szCs w:val="24"/>
                <w:lang w:val="en-US"/>
              </w:rPr>
            </w:pPr>
          </w:p>
        </w:tc>
      </w:tr>
      <w:tr w:rsidR="00FE0781" w:rsidRPr="009D0367" w14:paraId="59EE7FAA" w14:textId="77777777" w:rsidTr="0067172A">
        <w:tc>
          <w:tcPr>
            <w:tcW w:w="13339" w:type="dxa"/>
            <w:gridSpan w:val="5"/>
            <w:shd w:val="clear" w:color="auto" w:fill="7030A0"/>
          </w:tcPr>
          <w:p w14:paraId="15E3A99C" w14:textId="3D5DAF69" w:rsidR="00FE0781" w:rsidRPr="003911F2" w:rsidRDefault="0071674B" w:rsidP="00311051">
            <w:pPr>
              <w:rPr>
                <w:rFonts w:ascii="Calibri" w:hAnsi="Calibri" w:cs="Calibri"/>
                <w:b/>
                <w:bCs/>
                <w:color w:val="FFFFFF" w:themeColor="background1"/>
                <w:sz w:val="24"/>
                <w:szCs w:val="24"/>
                <w:lang w:val="en-US"/>
              </w:rPr>
            </w:pPr>
            <w:r>
              <w:rPr>
                <w:rFonts w:ascii="Calibri" w:hAnsi="Calibri" w:cs="Calibri"/>
                <w:b/>
                <w:bCs/>
                <w:color w:val="FFFFFF" w:themeColor="background1"/>
                <w:sz w:val="24"/>
                <w:szCs w:val="24"/>
                <w:lang w:val="en-US"/>
              </w:rPr>
              <w:lastRenderedPageBreak/>
              <w:t xml:space="preserve">EBA outsourcing guidelines - </w:t>
            </w:r>
            <w:r w:rsidR="0067172A" w:rsidRPr="003911F2">
              <w:rPr>
                <w:rFonts w:ascii="Calibri" w:hAnsi="Calibri" w:cs="Calibri"/>
                <w:b/>
                <w:bCs/>
                <w:color w:val="FFFFFF" w:themeColor="background1"/>
                <w:sz w:val="24"/>
                <w:szCs w:val="24"/>
                <w:lang w:val="en-US"/>
              </w:rPr>
              <w:t>For critical or important functions - IN CASE SUB-OUTSOURCING IS PERMITTED</w:t>
            </w:r>
          </w:p>
        </w:tc>
      </w:tr>
      <w:tr w:rsidR="00FE0781" w:rsidRPr="009D0367" w14:paraId="70EC3391" w14:textId="77777777" w:rsidTr="00425363">
        <w:tc>
          <w:tcPr>
            <w:tcW w:w="778" w:type="dxa"/>
          </w:tcPr>
          <w:p w14:paraId="6641493B" w14:textId="11E851D8" w:rsidR="00FE0781" w:rsidRPr="00295056" w:rsidRDefault="0067172A" w:rsidP="00311051">
            <w:pPr>
              <w:rPr>
                <w:rFonts w:ascii="Calibri" w:hAnsi="Calibri" w:cs="Calibri"/>
                <w:sz w:val="24"/>
                <w:szCs w:val="24"/>
                <w:lang w:val="en-US"/>
              </w:rPr>
            </w:pPr>
            <w:r w:rsidRPr="00295056">
              <w:rPr>
                <w:rFonts w:ascii="Calibri" w:hAnsi="Calibri" w:cs="Calibri"/>
                <w:sz w:val="24"/>
                <w:szCs w:val="24"/>
                <w:lang w:val="en-US"/>
              </w:rPr>
              <w:t>2</w:t>
            </w:r>
            <w:r w:rsidR="00023EBA">
              <w:rPr>
                <w:rFonts w:ascii="Calibri" w:hAnsi="Calibri" w:cs="Calibri"/>
                <w:sz w:val="24"/>
                <w:szCs w:val="24"/>
                <w:lang w:val="en-US"/>
              </w:rPr>
              <w:t>6</w:t>
            </w:r>
            <w:r w:rsidRPr="00295056">
              <w:rPr>
                <w:rFonts w:ascii="Calibri" w:hAnsi="Calibri" w:cs="Calibri"/>
                <w:sz w:val="24"/>
                <w:szCs w:val="24"/>
                <w:lang w:val="en-US"/>
              </w:rPr>
              <w:t>.</w:t>
            </w:r>
          </w:p>
        </w:tc>
        <w:tc>
          <w:tcPr>
            <w:tcW w:w="5210" w:type="dxa"/>
          </w:tcPr>
          <w:p w14:paraId="71A351D8" w14:textId="075C3276" w:rsidR="00FE0781" w:rsidRPr="00295056" w:rsidRDefault="00DE43FD"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A specification that the service provider is obliged to oversee those services that it has sub-contracted to ensure that all contractual obligations between the service provider and the (payment) institution are continuously met</w:t>
            </w:r>
            <w:r w:rsidR="008B59F0">
              <w:rPr>
                <w:rFonts w:ascii="Calibri" w:hAnsi="Calibri" w:cs="Calibri"/>
                <w:color w:val="000000"/>
                <w:sz w:val="24"/>
                <w:szCs w:val="24"/>
                <w:lang w:val="en-US"/>
              </w:rPr>
              <w:t>.</w:t>
            </w:r>
          </w:p>
        </w:tc>
        <w:tc>
          <w:tcPr>
            <w:tcW w:w="1275" w:type="dxa"/>
          </w:tcPr>
          <w:p w14:paraId="2187BD83" w14:textId="77777777" w:rsidR="00FE0781" w:rsidRPr="00295056" w:rsidRDefault="00FE0781" w:rsidP="00311051">
            <w:pPr>
              <w:rPr>
                <w:rFonts w:ascii="Calibri" w:hAnsi="Calibri" w:cs="Calibri"/>
                <w:sz w:val="24"/>
                <w:szCs w:val="24"/>
                <w:lang w:val="en-US"/>
              </w:rPr>
            </w:pPr>
          </w:p>
        </w:tc>
        <w:tc>
          <w:tcPr>
            <w:tcW w:w="1834" w:type="dxa"/>
          </w:tcPr>
          <w:p w14:paraId="6F7E0FBF" w14:textId="77777777" w:rsidR="00FE0781" w:rsidRPr="00295056" w:rsidRDefault="00FE0781" w:rsidP="00311051">
            <w:pPr>
              <w:rPr>
                <w:rFonts w:ascii="Calibri" w:hAnsi="Calibri" w:cs="Calibri"/>
                <w:sz w:val="24"/>
                <w:szCs w:val="24"/>
                <w:lang w:val="en-US"/>
              </w:rPr>
            </w:pPr>
          </w:p>
        </w:tc>
        <w:tc>
          <w:tcPr>
            <w:tcW w:w="4242" w:type="dxa"/>
          </w:tcPr>
          <w:p w14:paraId="522F0553" w14:textId="77777777" w:rsidR="00FE0781" w:rsidRPr="00295056" w:rsidRDefault="00FE0781" w:rsidP="00311051">
            <w:pPr>
              <w:rPr>
                <w:rFonts w:ascii="Calibri" w:hAnsi="Calibri" w:cs="Calibri"/>
                <w:sz w:val="24"/>
                <w:szCs w:val="24"/>
                <w:lang w:val="en-US"/>
              </w:rPr>
            </w:pPr>
          </w:p>
        </w:tc>
      </w:tr>
      <w:tr w:rsidR="00FE0781" w:rsidRPr="009D0367" w14:paraId="58C53464" w14:textId="77777777" w:rsidTr="00425363">
        <w:tc>
          <w:tcPr>
            <w:tcW w:w="778" w:type="dxa"/>
          </w:tcPr>
          <w:p w14:paraId="369DEC73" w14:textId="2E0B72EC" w:rsidR="00FE0781" w:rsidRPr="00295056" w:rsidRDefault="0067172A" w:rsidP="00311051">
            <w:pPr>
              <w:rPr>
                <w:rFonts w:ascii="Calibri" w:hAnsi="Calibri" w:cs="Calibri"/>
                <w:sz w:val="24"/>
                <w:szCs w:val="24"/>
                <w:lang w:val="en-US"/>
              </w:rPr>
            </w:pPr>
            <w:r w:rsidRPr="00295056">
              <w:rPr>
                <w:rFonts w:ascii="Calibri" w:hAnsi="Calibri" w:cs="Calibri"/>
                <w:sz w:val="24"/>
                <w:szCs w:val="24"/>
                <w:lang w:val="en-US"/>
              </w:rPr>
              <w:t>2</w:t>
            </w:r>
            <w:r w:rsidR="00023EBA">
              <w:rPr>
                <w:rFonts w:ascii="Calibri" w:hAnsi="Calibri" w:cs="Calibri"/>
                <w:sz w:val="24"/>
                <w:szCs w:val="24"/>
                <w:lang w:val="en-US"/>
              </w:rPr>
              <w:t>7</w:t>
            </w:r>
            <w:r w:rsidRPr="00295056">
              <w:rPr>
                <w:rFonts w:ascii="Calibri" w:hAnsi="Calibri" w:cs="Calibri"/>
                <w:sz w:val="24"/>
                <w:szCs w:val="24"/>
                <w:lang w:val="en-US"/>
              </w:rPr>
              <w:t>.</w:t>
            </w:r>
          </w:p>
        </w:tc>
        <w:tc>
          <w:tcPr>
            <w:tcW w:w="5210" w:type="dxa"/>
          </w:tcPr>
          <w:p w14:paraId="6384DAE8" w14:textId="7908468D" w:rsidR="00FE0781" w:rsidRPr="00295056" w:rsidRDefault="00DE43FD"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The requirement for the service provider the service provider to obtain prior specific or general written authorisation from the (payment) institution before sub-outsourcing data.</w:t>
            </w:r>
          </w:p>
        </w:tc>
        <w:tc>
          <w:tcPr>
            <w:tcW w:w="1275" w:type="dxa"/>
          </w:tcPr>
          <w:p w14:paraId="7ACEDC08" w14:textId="77777777" w:rsidR="00FE0781" w:rsidRPr="00295056" w:rsidRDefault="00FE0781" w:rsidP="00311051">
            <w:pPr>
              <w:rPr>
                <w:rFonts w:ascii="Calibri" w:hAnsi="Calibri" w:cs="Calibri"/>
                <w:sz w:val="24"/>
                <w:szCs w:val="24"/>
                <w:lang w:val="en-US"/>
              </w:rPr>
            </w:pPr>
          </w:p>
        </w:tc>
        <w:tc>
          <w:tcPr>
            <w:tcW w:w="1834" w:type="dxa"/>
          </w:tcPr>
          <w:p w14:paraId="6CDC125E" w14:textId="77777777" w:rsidR="00FE0781" w:rsidRPr="00295056" w:rsidRDefault="00FE0781" w:rsidP="00311051">
            <w:pPr>
              <w:rPr>
                <w:rFonts w:ascii="Calibri" w:hAnsi="Calibri" w:cs="Calibri"/>
                <w:sz w:val="24"/>
                <w:szCs w:val="24"/>
                <w:lang w:val="en-US"/>
              </w:rPr>
            </w:pPr>
          </w:p>
        </w:tc>
        <w:tc>
          <w:tcPr>
            <w:tcW w:w="4242" w:type="dxa"/>
          </w:tcPr>
          <w:p w14:paraId="51B99CE7" w14:textId="77777777" w:rsidR="00FE0781" w:rsidRPr="00295056" w:rsidRDefault="00FE0781" w:rsidP="00311051">
            <w:pPr>
              <w:rPr>
                <w:rFonts w:ascii="Calibri" w:hAnsi="Calibri" w:cs="Calibri"/>
                <w:sz w:val="24"/>
                <w:szCs w:val="24"/>
                <w:lang w:val="en-US"/>
              </w:rPr>
            </w:pPr>
          </w:p>
        </w:tc>
      </w:tr>
      <w:tr w:rsidR="00FE0781" w:rsidRPr="009D0367" w14:paraId="2A5AD54E" w14:textId="77777777" w:rsidTr="00425363">
        <w:tc>
          <w:tcPr>
            <w:tcW w:w="778" w:type="dxa"/>
          </w:tcPr>
          <w:p w14:paraId="6BE9DF7B" w14:textId="4AC3C3E9" w:rsidR="00FE0781" w:rsidRPr="00295056" w:rsidRDefault="0067172A" w:rsidP="00311051">
            <w:pPr>
              <w:rPr>
                <w:rFonts w:ascii="Calibri" w:hAnsi="Calibri" w:cs="Calibri"/>
                <w:sz w:val="24"/>
                <w:szCs w:val="24"/>
                <w:lang w:val="en-US"/>
              </w:rPr>
            </w:pPr>
            <w:r w:rsidRPr="00295056">
              <w:rPr>
                <w:rFonts w:ascii="Calibri" w:hAnsi="Calibri" w:cs="Calibri"/>
                <w:sz w:val="24"/>
                <w:szCs w:val="24"/>
                <w:lang w:val="en-US"/>
              </w:rPr>
              <w:t>2</w:t>
            </w:r>
            <w:r w:rsidR="00023EBA">
              <w:rPr>
                <w:rFonts w:ascii="Calibri" w:hAnsi="Calibri" w:cs="Calibri"/>
                <w:sz w:val="24"/>
                <w:szCs w:val="24"/>
                <w:lang w:val="en-US"/>
              </w:rPr>
              <w:t>8</w:t>
            </w:r>
            <w:r w:rsidRPr="00295056">
              <w:rPr>
                <w:rFonts w:ascii="Calibri" w:hAnsi="Calibri" w:cs="Calibri"/>
                <w:sz w:val="24"/>
                <w:szCs w:val="24"/>
                <w:lang w:val="en-US"/>
              </w:rPr>
              <w:t>.</w:t>
            </w:r>
          </w:p>
        </w:tc>
        <w:tc>
          <w:tcPr>
            <w:tcW w:w="5210" w:type="dxa"/>
          </w:tcPr>
          <w:p w14:paraId="062F678D" w14:textId="47D8463A" w:rsidR="00FE0781" w:rsidRPr="00295056" w:rsidRDefault="007A6D33"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An obligation of the service provider to inform the (payment) institution of any planned sub-outsourcing, or material changes thereof, in particular where that might affect the ability of the service provider to meet its responsibilities under the outsourcing agreement. The notification period should allow the outsourcing (payment) institution to carry out a risk assessment of the proposed changes and to object to changes before the planned sub-outsourcing, or material changes thereof, come into effect.</w:t>
            </w:r>
          </w:p>
        </w:tc>
        <w:tc>
          <w:tcPr>
            <w:tcW w:w="1275" w:type="dxa"/>
          </w:tcPr>
          <w:p w14:paraId="63A4350F" w14:textId="77777777" w:rsidR="00FE0781" w:rsidRPr="00295056" w:rsidRDefault="00FE0781" w:rsidP="00311051">
            <w:pPr>
              <w:rPr>
                <w:rFonts w:ascii="Calibri" w:hAnsi="Calibri" w:cs="Calibri"/>
                <w:sz w:val="24"/>
                <w:szCs w:val="24"/>
                <w:lang w:val="en-US"/>
              </w:rPr>
            </w:pPr>
          </w:p>
        </w:tc>
        <w:tc>
          <w:tcPr>
            <w:tcW w:w="1834" w:type="dxa"/>
          </w:tcPr>
          <w:p w14:paraId="2D945A11" w14:textId="77777777" w:rsidR="00FE0781" w:rsidRPr="00295056" w:rsidRDefault="00FE0781" w:rsidP="00311051">
            <w:pPr>
              <w:rPr>
                <w:rFonts w:ascii="Calibri" w:hAnsi="Calibri" w:cs="Calibri"/>
                <w:sz w:val="24"/>
                <w:szCs w:val="24"/>
                <w:lang w:val="en-US"/>
              </w:rPr>
            </w:pPr>
          </w:p>
        </w:tc>
        <w:tc>
          <w:tcPr>
            <w:tcW w:w="4242" w:type="dxa"/>
          </w:tcPr>
          <w:p w14:paraId="2F4FFAF2" w14:textId="77777777" w:rsidR="00FE0781" w:rsidRPr="00295056" w:rsidRDefault="00FE0781" w:rsidP="00311051">
            <w:pPr>
              <w:rPr>
                <w:rFonts w:ascii="Calibri" w:hAnsi="Calibri" w:cs="Calibri"/>
                <w:sz w:val="24"/>
                <w:szCs w:val="24"/>
                <w:lang w:val="en-US"/>
              </w:rPr>
            </w:pPr>
          </w:p>
        </w:tc>
      </w:tr>
      <w:tr w:rsidR="00CD75EB" w:rsidRPr="009D0367" w14:paraId="1265416E" w14:textId="77777777" w:rsidTr="00425363">
        <w:tc>
          <w:tcPr>
            <w:tcW w:w="778" w:type="dxa"/>
          </w:tcPr>
          <w:p w14:paraId="7F682978" w14:textId="4D02B5C6" w:rsidR="00CD75EB" w:rsidRPr="00295056" w:rsidRDefault="00CD75EB" w:rsidP="00311051">
            <w:pPr>
              <w:rPr>
                <w:rFonts w:ascii="Calibri" w:hAnsi="Calibri" w:cs="Calibri"/>
                <w:lang w:val="en-US"/>
              </w:rPr>
            </w:pPr>
            <w:r>
              <w:rPr>
                <w:rFonts w:ascii="Calibri" w:hAnsi="Calibri" w:cs="Calibri"/>
                <w:lang w:val="en-US"/>
              </w:rPr>
              <w:t>2</w:t>
            </w:r>
            <w:r w:rsidR="00023EBA">
              <w:rPr>
                <w:rFonts w:ascii="Calibri" w:hAnsi="Calibri" w:cs="Calibri"/>
                <w:lang w:val="en-US"/>
              </w:rPr>
              <w:t>9</w:t>
            </w:r>
            <w:r>
              <w:rPr>
                <w:rFonts w:ascii="Calibri" w:hAnsi="Calibri" w:cs="Calibri"/>
                <w:lang w:val="en-US"/>
              </w:rPr>
              <w:t>.</w:t>
            </w:r>
          </w:p>
        </w:tc>
        <w:tc>
          <w:tcPr>
            <w:tcW w:w="5210" w:type="dxa"/>
          </w:tcPr>
          <w:p w14:paraId="5A0BDDF3" w14:textId="01626C6D" w:rsidR="00CD75EB" w:rsidRPr="000F6264" w:rsidRDefault="000B4838" w:rsidP="00311051">
            <w:pPr>
              <w:rPr>
                <w:rFonts w:ascii="Calibri" w:hAnsi="Calibri" w:cs="Calibri"/>
                <w:color w:val="000000"/>
                <w:sz w:val="24"/>
                <w:szCs w:val="24"/>
                <w:lang w:val="en-US"/>
              </w:rPr>
            </w:pPr>
            <w:r w:rsidRPr="000F6264">
              <w:rPr>
                <w:rFonts w:ascii="Calibri" w:hAnsi="Calibri" w:cs="Calibri"/>
                <w:color w:val="000000"/>
                <w:sz w:val="24"/>
                <w:szCs w:val="24"/>
                <w:lang w:val="en-US"/>
              </w:rPr>
              <w:t>The right of the (payment)</w:t>
            </w:r>
            <w:r w:rsidR="00241DBD" w:rsidRPr="000F6264">
              <w:rPr>
                <w:rFonts w:ascii="Calibri" w:hAnsi="Calibri" w:cs="Calibri"/>
                <w:color w:val="000000"/>
                <w:sz w:val="24"/>
                <w:szCs w:val="24"/>
                <w:lang w:val="en-US"/>
              </w:rPr>
              <w:t xml:space="preserve"> institution to object to intended sub-outsourcing, or material changes thereof, or that explicit approval is required.</w:t>
            </w:r>
          </w:p>
        </w:tc>
        <w:tc>
          <w:tcPr>
            <w:tcW w:w="1275" w:type="dxa"/>
          </w:tcPr>
          <w:p w14:paraId="144E88C6" w14:textId="77777777" w:rsidR="00CD75EB" w:rsidRPr="00295056" w:rsidRDefault="00CD75EB" w:rsidP="00311051">
            <w:pPr>
              <w:rPr>
                <w:rFonts w:ascii="Calibri" w:hAnsi="Calibri" w:cs="Calibri"/>
                <w:lang w:val="en-US"/>
              </w:rPr>
            </w:pPr>
          </w:p>
        </w:tc>
        <w:tc>
          <w:tcPr>
            <w:tcW w:w="1834" w:type="dxa"/>
          </w:tcPr>
          <w:p w14:paraId="23E1D113" w14:textId="77777777" w:rsidR="00CD75EB" w:rsidRPr="00295056" w:rsidRDefault="00CD75EB" w:rsidP="00311051">
            <w:pPr>
              <w:rPr>
                <w:rFonts w:ascii="Calibri" w:hAnsi="Calibri" w:cs="Calibri"/>
                <w:lang w:val="en-US"/>
              </w:rPr>
            </w:pPr>
          </w:p>
        </w:tc>
        <w:tc>
          <w:tcPr>
            <w:tcW w:w="4242" w:type="dxa"/>
          </w:tcPr>
          <w:p w14:paraId="291E81C6" w14:textId="77777777" w:rsidR="00CD75EB" w:rsidRPr="00295056" w:rsidRDefault="00CD75EB" w:rsidP="00311051">
            <w:pPr>
              <w:rPr>
                <w:rFonts w:ascii="Calibri" w:hAnsi="Calibri" w:cs="Calibri"/>
                <w:lang w:val="en-US"/>
              </w:rPr>
            </w:pPr>
          </w:p>
        </w:tc>
      </w:tr>
      <w:tr w:rsidR="00FE0781" w:rsidRPr="009D0367" w14:paraId="5B5420DA" w14:textId="77777777" w:rsidTr="00425363">
        <w:tc>
          <w:tcPr>
            <w:tcW w:w="778" w:type="dxa"/>
          </w:tcPr>
          <w:p w14:paraId="4C1E3C08" w14:textId="6180EF26" w:rsidR="00FE0781" w:rsidRPr="00295056" w:rsidRDefault="00023EBA" w:rsidP="00311051">
            <w:pPr>
              <w:rPr>
                <w:rFonts w:ascii="Calibri" w:hAnsi="Calibri" w:cs="Calibri"/>
                <w:sz w:val="24"/>
                <w:szCs w:val="24"/>
                <w:lang w:val="en-US"/>
              </w:rPr>
            </w:pPr>
            <w:r>
              <w:rPr>
                <w:rFonts w:ascii="Calibri" w:hAnsi="Calibri" w:cs="Calibri"/>
                <w:sz w:val="24"/>
                <w:szCs w:val="24"/>
                <w:lang w:val="en-US"/>
              </w:rPr>
              <w:t>30</w:t>
            </w:r>
            <w:r w:rsidR="0067172A" w:rsidRPr="00295056">
              <w:rPr>
                <w:rFonts w:ascii="Calibri" w:hAnsi="Calibri" w:cs="Calibri"/>
                <w:sz w:val="24"/>
                <w:szCs w:val="24"/>
                <w:lang w:val="en-US"/>
              </w:rPr>
              <w:t>.</w:t>
            </w:r>
          </w:p>
        </w:tc>
        <w:tc>
          <w:tcPr>
            <w:tcW w:w="5210" w:type="dxa"/>
          </w:tcPr>
          <w:p w14:paraId="3EF1EEED" w14:textId="71437008" w:rsidR="00FE0781" w:rsidRPr="00295056" w:rsidRDefault="00670671" w:rsidP="00311051">
            <w:pPr>
              <w:rPr>
                <w:rFonts w:ascii="Calibri" w:eastAsia="Times New Roman" w:hAnsi="Calibri" w:cs="Calibri"/>
                <w:color w:val="000000"/>
                <w:sz w:val="24"/>
                <w:szCs w:val="24"/>
                <w:lang w:val="en-US"/>
              </w:rPr>
            </w:pPr>
            <w:r w:rsidRPr="00295056">
              <w:rPr>
                <w:rFonts w:ascii="Calibri" w:hAnsi="Calibri" w:cs="Calibri"/>
                <w:color w:val="000000"/>
                <w:sz w:val="24"/>
                <w:szCs w:val="24"/>
                <w:lang w:val="en-US"/>
              </w:rPr>
              <w:t xml:space="preserve">The right to terminate the agreement in the case of undue sub-outsourcing, e.g. where the sub-outsourcing materially increases the risks for the (payment) institution or where the service </w:t>
            </w:r>
            <w:r w:rsidRPr="00295056">
              <w:rPr>
                <w:rFonts w:ascii="Calibri" w:hAnsi="Calibri" w:cs="Calibri"/>
                <w:color w:val="000000"/>
                <w:sz w:val="24"/>
                <w:szCs w:val="24"/>
                <w:lang w:val="en-US"/>
              </w:rPr>
              <w:lastRenderedPageBreak/>
              <w:t>provider sub-outsources without notifying the (payment) institution.</w:t>
            </w:r>
          </w:p>
        </w:tc>
        <w:tc>
          <w:tcPr>
            <w:tcW w:w="1275" w:type="dxa"/>
          </w:tcPr>
          <w:p w14:paraId="6267C2C7" w14:textId="77777777" w:rsidR="00FE0781" w:rsidRPr="00295056" w:rsidRDefault="00FE0781" w:rsidP="00311051">
            <w:pPr>
              <w:rPr>
                <w:rFonts w:ascii="Calibri" w:hAnsi="Calibri" w:cs="Calibri"/>
                <w:sz w:val="24"/>
                <w:szCs w:val="24"/>
                <w:lang w:val="en-US"/>
              </w:rPr>
            </w:pPr>
          </w:p>
        </w:tc>
        <w:tc>
          <w:tcPr>
            <w:tcW w:w="1834" w:type="dxa"/>
          </w:tcPr>
          <w:p w14:paraId="41A82D7A" w14:textId="77777777" w:rsidR="00FE0781" w:rsidRPr="00295056" w:rsidRDefault="00FE0781" w:rsidP="00311051">
            <w:pPr>
              <w:rPr>
                <w:rFonts w:ascii="Calibri" w:hAnsi="Calibri" w:cs="Calibri"/>
                <w:sz w:val="24"/>
                <w:szCs w:val="24"/>
                <w:lang w:val="en-US"/>
              </w:rPr>
            </w:pPr>
          </w:p>
        </w:tc>
        <w:tc>
          <w:tcPr>
            <w:tcW w:w="4242" w:type="dxa"/>
          </w:tcPr>
          <w:p w14:paraId="6BE56B59" w14:textId="77777777" w:rsidR="00FE0781" w:rsidRPr="00295056" w:rsidRDefault="00FE0781" w:rsidP="00311051">
            <w:pPr>
              <w:rPr>
                <w:rFonts w:ascii="Calibri" w:hAnsi="Calibri" w:cs="Calibri"/>
                <w:sz w:val="24"/>
                <w:szCs w:val="24"/>
                <w:lang w:val="en-US"/>
              </w:rPr>
            </w:pPr>
          </w:p>
        </w:tc>
      </w:tr>
      <w:tr w:rsidR="00241DBD" w:rsidRPr="009D0367" w14:paraId="55F25052" w14:textId="77777777" w:rsidTr="00425363">
        <w:tc>
          <w:tcPr>
            <w:tcW w:w="778" w:type="dxa"/>
          </w:tcPr>
          <w:p w14:paraId="2A44CC1B" w14:textId="0E9ABCD8" w:rsidR="00241DBD" w:rsidRPr="00295056" w:rsidRDefault="00023EBA" w:rsidP="00311051">
            <w:pPr>
              <w:rPr>
                <w:rFonts w:ascii="Calibri" w:hAnsi="Calibri" w:cs="Calibri"/>
                <w:lang w:val="en-US"/>
              </w:rPr>
            </w:pPr>
            <w:r>
              <w:rPr>
                <w:rFonts w:ascii="Calibri" w:hAnsi="Calibri" w:cs="Calibri"/>
                <w:lang w:val="en-US"/>
              </w:rPr>
              <w:t>31</w:t>
            </w:r>
            <w:r w:rsidR="00241DBD">
              <w:rPr>
                <w:rFonts w:ascii="Calibri" w:hAnsi="Calibri" w:cs="Calibri"/>
                <w:lang w:val="en-US"/>
              </w:rPr>
              <w:t>.</w:t>
            </w:r>
          </w:p>
        </w:tc>
        <w:tc>
          <w:tcPr>
            <w:tcW w:w="5210" w:type="dxa"/>
          </w:tcPr>
          <w:p w14:paraId="2C56FA28" w14:textId="3EC687C3" w:rsidR="00241DBD" w:rsidRPr="000F6264" w:rsidRDefault="00241DBD" w:rsidP="00311051">
            <w:pPr>
              <w:rPr>
                <w:rFonts w:ascii="Calibri" w:hAnsi="Calibri" w:cs="Calibri"/>
                <w:color w:val="000000"/>
                <w:sz w:val="24"/>
                <w:szCs w:val="24"/>
                <w:lang w:val="en-US"/>
              </w:rPr>
            </w:pPr>
            <w:r w:rsidRPr="000F6264">
              <w:rPr>
                <w:rFonts w:ascii="Calibri" w:hAnsi="Calibri" w:cs="Calibri"/>
                <w:color w:val="000000"/>
                <w:sz w:val="24"/>
                <w:szCs w:val="24"/>
                <w:lang w:val="en-US"/>
              </w:rPr>
              <w:t>The undertaking of the sub-contactor to comply with all applicable laws, regulatory requirements and contractual obligations.</w:t>
            </w:r>
          </w:p>
        </w:tc>
        <w:tc>
          <w:tcPr>
            <w:tcW w:w="1275" w:type="dxa"/>
          </w:tcPr>
          <w:p w14:paraId="1FC79BE9" w14:textId="77777777" w:rsidR="00241DBD" w:rsidRPr="00295056" w:rsidRDefault="00241DBD" w:rsidP="00311051">
            <w:pPr>
              <w:rPr>
                <w:rFonts w:ascii="Calibri" w:hAnsi="Calibri" w:cs="Calibri"/>
                <w:lang w:val="en-US"/>
              </w:rPr>
            </w:pPr>
          </w:p>
        </w:tc>
        <w:tc>
          <w:tcPr>
            <w:tcW w:w="1834" w:type="dxa"/>
          </w:tcPr>
          <w:p w14:paraId="47B50925" w14:textId="77777777" w:rsidR="00241DBD" w:rsidRPr="00295056" w:rsidRDefault="00241DBD" w:rsidP="00311051">
            <w:pPr>
              <w:rPr>
                <w:rFonts w:ascii="Calibri" w:hAnsi="Calibri" w:cs="Calibri"/>
                <w:lang w:val="en-US"/>
              </w:rPr>
            </w:pPr>
          </w:p>
        </w:tc>
        <w:tc>
          <w:tcPr>
            <w:tcW w:w="4242" w:type="dxa"/>
          </w:tcPr>
          <w:p w14:paraId="072C9F92" w14:textId="77777777" w:rsidR="00241DBD" w:rsidRPr="00295056" w:rsidRDefault="00241DBD" w:rsidP="00311051">
            <w:pPr>
              <w:rPr>
                <w:rFonts w:ascii="Calibri" w:hAnsi="Calibri" w:cs="Calibri"/>
                <w:lang w:val="en-US"/>
              </w:rPr>
            </w:pPr>
          </w:p>
        </w:tc>
      </w:tr>
      <w:tr w:rsidR="00241DBD" w:rsidRPr="009D0367" w14:paraId="5C976AF8" w14:textId="77777777" w:rsidTr="00425363">
        <w:tc>
          <w:tcPr>
            <w:tcW w:w="778" w:type="dxa"/>
          </w:tcPr>
          <w:p w14:paraId="1C3048A6" w14:textId="7F0D4842" w:rsidR="00241DBD" w:rsidRDefault="00023EBA" w:rsidP="00311051">
            <w:pPr>
              <w:rPr>
                <w:rFonts w:ascii="Calibri" w:hAnsi="Calibri" w:cs="Calibri"/>
                <w:lang w:val="en-US"/>
              </w:rPr>
            </w:pPr>
            <w:r>
              <w:rPr>
                <w:rFonts w:ascii="Calibri" w:hAnsi="Calibri" w:cs="Calibri"/>
                <w:lang w:val="en-US"/>
              </w:rPr>
              <w:t>32</w:t>
            </w:r>
            <w:r w:rsidR="00241DBD">
              <w:rPr>
                <w:rFonts w:ascii="Calibri" w:hAnsi="Calibri" w:cs="Calibri"/>
                <w:lang w:val="en-US"/>
              </w:rPr>
              <w:t>.</w:t>
            </w:r>
          </w:p>
        </w:tc>
        <w:tc>
          <w:tcPr>
            <w:tcW w:w="5210" w:type="dxa"/>
          </w:tcPr>
          <w:p w14:paraId="035FC85F" w14:textId="53854BBA" w:rsidR="00241DBD" w:rsidRPr="000F6264" w:rsidRDefault="00241DBD" w:rsidP="00311051">
            <w:pPr>
              <w:rPr>
                <w:rFonts w:ascii="Calibri" w:hAnsi="Calibri" w:cs="Calibri"/>
                <w:color w:val="000000"/>
                <w:sz w:val="24"/>
                <w:szCs w:val="24"/>
                <w:lang w:val="en-US"/>
              </w:rPr>
            </w:pPr>
            <w:r w:rsidRPr="000F6264">
              <w:rPr>
                <w:rFonts w:ascii="Calibri" w:hAnsi="Calibri" w:cs="Calibri"/>
                <w:color w:val="000000"/>
                <w:sz w:val="24"/>
                <w:szCs w:val="24"/>
                <w:lang w:val="en-US"/>
              </w:rPr>
              <w:t xml:space="preserve">The </w:t>
            </w:r>
            <w:r w:rsidR="00786147" w:rsidRPr="000F6264">
              <w:rPr>
                <w:rFonts w:ascii="Calibri" w:hAnsi="Calibri" w:cs="Calibri"/>
                <w:color w:val="000000"/>
                <w:sz w:val="24"/>
                <w:szCs w:val="24"/>
                <w:lang w:val="en-US"/>
              </w:rPr>
              <w:t xml:space="preserve">granting of the </w:t>
            </w:r>
            <w:r w:rsidR="00244D2F" w:rsidRPr="000F6264">
              <w:rPr>
                <w:rFonts w:ascii="Calibri" w:hAnsi="Calibri" w:cs="Calibri"/>
                <w:color w:val="000000"/>
                <w:sz w:val="24"/>
                <w:szCs w:val="24"/>
                <w:lang w:val="en-US"/>
              </w:rPr>
              <w:t xml:space="preserve">same contractual rights of access and audit to the (payment) institution and competent authority </w:t>
            </w:r>
            <w:r w:rsidR="00083B4F" w:rsidRPr="000F6264">
              <w:rPr>
                <w:rFonts w:ascii="Calibri" w:hAnsi="Calibri" w:cs="Calibri"/>
                <w:color w:val="000000"/>
                <w:sz w:val="24"/>
                <w:szCs w:val="24"/>
                <w:lang w:val="en-US"/>
              </w:rPr>
              <w:t>as those granted by the service provider.</w:t>
            </w:r>
          </w:p>
        </w:tc>
        <w:tc>
          <w:tcPr>
            <w:tcW w:w="1275" w:type="dxa"/>
          </w:tcPr>
          <w:p w14:paraId="0C96A39B" w14:textId="77777777" w:rsidR="00241DBD" w:rsidRPr="00295056" w:rsidRDefault="00241DBD" w:rsidP="00311051">
            <w:pPr>
              <w:rPr>
                <w:rFonts w:ascii="Calibri" w:hAnsi="Calibri" w:cs="Calibri"/>
                <w:lang w:val="en-US"/>
              </w:rPr>
            </w:pPr>
          </w:p>
        </w:tc>
        <w:tc>
          <w:tcPr>
            <w:tcW w:w="1834" w:type="dxa"/>
          </w:tcPr>
          <w:p w14:paraId="0A0F228A" w14:textId="77777777" w:rsidR="00241DBD" w:rsidRPr="00295056" w:rsidRDefault="00241DBD" w:rsidP="00311051">
            <w:pPr>
              <w:rPr>
                <w:rFonts w:ascii="Calibri" w:hAnsi="Calibri" w:cs="Calibri"/>
                <w:lang w:val="en-US"/>
              </w:rPr>
            </w:pPr>
          </w:p>
        </w:tc>
        <w:tc>
          <w:tcPr>
            <w:tcW w:w="4242" w:type="dxa"/>
          </w:tcPr>
          <w:p w14:paraId="01ACC893" w14:textId="77777777" w:rsidR="00241DBD" w:rsidRPr="00295056" w:rsidRDefault="00241DBD" w:rsidP="00311051">
            <w:pPr>
              <w:rPr>
                <w:rFonts w:ascii="Calibri" w:hAnsi="Calibri" w:cs="Calibri"/>
                <w:lang w:val="en-US"/>
              </w:rPr>
            </w:pPr>
          </w:p>
        </w:tc>
      </w:tr>
      <w:tr w:rsidR="00052C60" w:rsidRPr="009D0367" w14:paraId="3DD2DFFB" w14:textId="77777777" w:rsidTr="00425363">
        <w:tc>
          <w:tcPr>
            <w:tcW w:w="778" w:type="dxa"/>
          </w:tcPr>
          <w:p w14:paraId="24EAA995" w14:textId="490FC1FA" w:rsidR="00052C60" w:rsidRDefault="00023EBA" w:rsidP="00311051">
            <w:pPr>
              <w:rPr>
                <w:rFonts w:ascii="Calibri" w:hAnsi="Calibri" w:cs="Calibri"/>
                <w:lang w:val="en-US"/>
              </w:rPr>
            </w:pPr>
            <w:r>
              <w:rPr>
                <w:rFonts w:ascii="Calibri" w:hAnsi="Calibri" w:cs="Calibri"/>
                <w:lang w:val="en-US"/>
              </w:rPr>
              <w:t>33</w:t>
            </w:r>
            <w:r w:rsidR="00052C60">
              <w:rPr>
                <w:rFonts w:ascii="Calibri" w:hAnsi="Calibri" w:cs="Calibri"/>
                <w:lang w:val="en-US"/>
              </w:rPr>
              <w:t>.</w:t>
            </w:r>
          </w:p>
        </w:tc>
        <w:tc>
          <w:tcPr>
            <w:tcW w:w="5210" w:type="dxa"/>
          </w:tcPr>
          <w:p w14:paraId="597888B4" w14:textId="020E27BD" w:rsidR="00052C60" w:rsidRPr="000F6264" w:rsidRDefault="007A430C" w:rsidP="00311051">
            <w:pPr>
              <w:rPr>
                <w:rFonts w:ascii="Calibri" w:hAnsi="Calibri" w:cs="Calibri"/>
                <w:color w:val="000000"/>
                <w:sz w:val="24"/>
                <w:szCs w:val="24"/>
                <w:lang w:val="en-US"/>
              </w:rPr>
            </w:pPr>
            <w:r w:rsidRPr="000F6264">
              <w:rPr>
                <w:rFonts w:ascii="Calibri" w:hAnsi="Calibri" w:cs="Calibri"/>
                <w:color w:val="000000"/>
                <w:sz w:val="24"/>
                <w:szCs w:val="24"/>
                <w:lang w:val="en-US"/>
              </w:rPr>
              <w:t>The obligation of the service provider to appropriately oversee the sub-service providers, In line with the policy defined by the (payment) institution</w:t>
            </w:r>
          </w:p>
        </w:tc>
        <w:tc>
          <w:tcPr>
            <w:tcW w:w="1275" w:type="dxa"/>
          </w:tcPr>
          <w:p w14:paraId="0021377D" w14:textId="77777777" w:rsidR="00052C60" w:rsidRPr="00295056" w:rsidRDefault="00052C60" w:rsidP="00311051">
            <w:pPr>
              <w:rPr>
                <w:rFonts w:ascii="Calibri" w:hAnsi="Calibri" w:cs="Calibri"/>
                <w:lang w:val="en-US"/>
              </w:rPr>
            </w:pPr>
          </w:p>
        </w:tc>
        <w:tc>
          <w:tcPr>
            <w:tcW w:w="1834" w:type="dxa"/>
          </w:tcPr>
          <w:p w14:paraId="155A5E93" w14:textId="77777777" w:rsidR="00052C60" w:rsidRPr="00295056" w:rsidRDefault="00052C60" w:rsidP="00311051">
            <w:pPr>
              <w:rPr>
                <w:rFonts w:ascii="Calibri" w:hAnsi="Calibri" w:cs="Calibri"/>
                <w:lang w:val="en-US"/>
              </w:rPr>
            </w:pPr>
          </w:p>
        </w:tc>
        <w:tc>
          <w:tcPr>
            <w:tcW w:w="4242" w:type="dxa"/>
          </w:tcPr>
          <w:p w14:paraId="46EAEEAB" w14:textId="77777777" w:rsidR="00052C60" w:rsidRPr="00295056" w:rsidRDefault="00052C60" w:rsidP="00311051">
            <w:pPr>
              <w:rPr>
                <w:rFonts w:ascii="Calibri" w:hAnsi="Calibri" w:cs="Calibri"/>
                <w:lang w:val="en-US"/>
              </w:rPr>
            </w:pPr>
          </w:p>
        </w:tc>
      </w:tr>
      <w:tr w:rsidR="00A15443" w:rsidRPr="009D0367" w14:paraId="0E781197" w14:textId="77777777" w:rsidTr="00395C36">
        <w:tc>
          <w:tcPr>
            <w:tcW w:w="13339" w:type="dxa"/>
            <w:gridSpan w:val="5"/>
            <w:shd w:val="clear" w:color="auto" w:fill="7030A0"/>
          </w:tcPr>
          <w:p w14:paraId="0153FF5C" w14:textId="1F474943" w:rsidR="00A15443" w:rsidRPr="00295056" w:rsidRDefault="000F4B87" w:rsidP="00A15443">
            <w:pPr>
              <w:rPr>
                <w:rFonts w:ascii="Calibri" w:hAnsi="Calibri" w:cs="Calibri"/>
                <w:lang w:val="en-US"/>
              </w:rPr>
            </w:pPr>
            <w:bookmarkStart w:id="0" w:name="_Hlk157355299"/>
            <w:r>
              <w:rPr>
                <w:rFonts w:ascii="Calibri" w:hAnsi="Calibri" w:cs="Calibri"/>
                <w:b/>
                <w:bCs/>
                <w:color w:val="FFFFFF" w:themeColor="background1"/>
                <w:sz w:val="24"/>
                <w:szCs w:val="24"/>
                <w:lang w:val="en-US"/>
              </w:rPr>
              <w:t xml:space="preserve">DORA </w:t>
            </w:r>
            <w:r w:rsidR="0071674B">
              <w:rPr>
                <w:rFonts w:ascii="Calibri" w:hAnsi="Calibri" w:cs="Calibri"/>
                <w:b/>
                <w:bCs/>
                <w:color w:val="FFFFFF" w:themeColor="background1"/>
                <w:sz w:val="24"/>
                <w:szCs w:val="24"/>
                <w:lang w:val="en-US"/>
              </w:rPr>
              <w:t xml:space="preserve">– General </w:t>
            </w:r>
            <w:r w:rsidR="000512C9">
              <w:rPr>
                <w:rFonts w:ascii="Calibri" w:hAnsi="Calibri" w:cs="Calibri"/>
                <w:b/>
                <w:bCs/>
                <w:color w:val="FFFFFF" w:themeColor="background1"/>
                <w:sz w:val="24"/>
                <w:szCs w:val="24"/>
                <w:lang w:val="en-US"/>
              </w:rPr>
              <w:t>r</w:t>
            </w:r>
            <w:r>
              <w:rPr>
                <w:rFonts w:ascii="Calibri" w:hAnsi="Calibri" w:cs="Calibri"/>
                <w:b/>
                <w:bCs/>
                <w:color w:val="FFFFFF" w:themeColor="background1"/>
                <w:sz w:val="24"/>
                <w:szCs w:val="24"/>
                <w:lang w:val="en-US"/>
              </w:rPr>
              <w:t>equirements f</w:t>
            </w:r>
            <w:r w:rsidR="00A15443" w:rsidRPr="003911F2">
              <w:rPr>
                <w:rFonts w:ascii="Calibri" w:hAnsi="Calibri" w:cs="Calibri"/>
                <w:b/>
                <w:bCs/>
                <w:color w:val="FFFFFF" w:themeColor="background1"/>
                <w:sz w:val="24"/>
                <w:szCs w:val="24"/>
                <w:lang w:val="en-US"/>
              </w:rPr>
              <w:t xml:space="preserve">or </w:t>
            </w:r>
            <w:r w:rsidR="00A15443">
              <w:rPr>
                <w:rFonts w:ascii="Calibri" w:hAnsi="Calibri" w:cs="Calibri"/>
                <w:b/>
                <w:bCs/>
                <w:color w:val="FFFFFF" w:themeColor="background1"/>
                <w:sz w:val="24"/>
                <w:szCs w:val="24"/>
                <w:lang w:val="en-US"/>
              </w:rPr>
              <w:t>ICT contracts with ICT third-party service providers</w:t>
            </w:r>
          </w:p>
        </w:tc>
      </w:tr>
      <w:bookmarkEnd w:id="0"/>
      <w:tr w:rsidR="000512C9" w:rsidRPr="009D0367" w14:paraId="6476CDE7" w14:textId="77777777" w:rsidTr="000C7CEC">
        <w:tc>
          <w:tcPr>
            <w:tcW w:w="13339" w:type="dxa"/>
            <w:gridSpan w:val="5"/>
          </w:tcPr>
          <w:p w14:paraId="2385806A" w14:textId="77777777" w:rsidR="00646D31" w:rsidRDefault="00C73A35" w:rsidP="00646D31">
            <w:pPr>
              <w:rPr>
                <w:rFonts w:ascii="Calibri" w:hAnsi="Calibri" w:cs="Calibri"/>
                <w:lang w:val="en-US"/>
              </w:rPr>
            </w:pPr>
            <w:r>
              <w:rPr>
                <w:rFonts w:ascii="Calibri" w:hAnsi="Calibri" w:cs="Calibri"/>
                <w:b/>
                <w:bCs/>
                <w:lang w:val="en-US"/>
              </w:rPr>
              <w:t>NOTE</w:t>
            </w:r>
            <w:r w:rsidR="000512C9">
              <w:rPr>
                <w:rFonts w:ascii="Calibri" w:hAnsi="Calibri" w:cs="Calibri"/>
                <w:lang w:val="en-US"/>
              </w:rPr>
              <w:t>:</w:t>
            </w:r>
            <w:r>
              <w:rPr>
                <w:rFonts w:ascii="Calibri" w:hAnsi="Calibri" w:cs="Calibri"/>
                <w:lang w:val="en-US"/>
              </w:rPr>
              <w:t xml:space="preserve"> </w:t>
            </w:r>
            <w:r w:rsidR="004F0E68">
              <w:rPr>
                <w:rFonts w:ascii="Calibri" w:hAnsi="Calibri" w:cs="Calibri"/>
                <w:lang w:val="en-US"/>
              </w:rPr>
              <w:t>These requirements apply to all contract</w:t>
            </w:r>
            <w:r w:rsidR="007807C2">
              <w:rPr>
                <w:rFonts w:ascii="Calibri" w:hAnsi="Calibri" w:cs="Calibri"/>
                <w:lang w:val="en-US"/>
              </w:rPr>
              <w:t>ual arrangements on the use of ICT service</w:t>
            </w:r>
            <w:r w:rsidR="004F0E68">
              <w:rPr>
                <w:rFonts w:ascii="Calibri" w:hAnsi="Calibri" w:cs="Calibri"/>
                <w:lang w:val="en-US"/>
              </w:rPr>
              <w:t xml:space="preserve">s with ICT third-party service providers, regardless of whether the </w:t>
            </w:r>
            <w:r w:rsidR="007807C2">
              <w:rPr>
                <w:rFonts w:ascii="Calibri" w:hAnsi="Calibri" w:cs="Calibri"/>
                <w:lang w:val="en-US"/>
              </w:rPr>
              <w:t>contractual arrangements</w:t>
            </w:r>
            <w:r w:rsidR="004F0E68">
              <w:rPr>
                <w:rFonts w:ascii="Calibri" w:hAnsi="Calibri" w:cs="Calibri"/>
                <w:lang w:val="en-US"/>
              </w:rPr>
              <w:t xml:space="preserve"> constitute outsourcing. </w:t>
            </w:r>
            <w:r w:rsidR="00E6208E">
              <w:rPr>
                <w:rFonts w:ascii="Calibri" w:hAnsi="Calibri" w:cs="Calibri"/>
                <w:lang w:val="en-US"/>
              </w:rPr>
              <w:t>‘</w:t>
            </w:r>
            <w:r w:rsidR="00E6208E" w:rsidRPr="00D7410B">
              <w:rPr>
                <w:rFonts w:ascii="Calibri" w:hAnsi="Calibri" w:cs="Calibri"/>
                <w:b/>
                <w:bCs/>
                <w:lang w:val="en-US"/>
              </w:rPr>
              <w:t>ICT services</w:t>
            </w:r>
            <w:r w:rsidR="00E6208E">
              <w:rPr>
                <w:rFonts w:ascii="Calibri" w:hAnsi="Calibri" w:cs="Calibri"/>
                <w:lang w:val="en-US"/>
              </w:rPr>
              <w:t>’ is broadly defined</w:t>
            </w:r>
            <w:r w:rsidR="00400F13">
              <w:rPr>
                <w:rFonts w:ascii="Calibri" w:hAnsi="Calibri" w:cs="Calibri"/>
                <w:lang w:val="en-US"/>
              </w:rPr>
              <w:t xml:space="preserve"> as: </w:t>
            </w:r>
          </w:p>
          <w:p w14:paraId="7DF61454" w14:textId="5BADEB94" w:rsidR="000512C9" w:rsidRPr="00295056" w:rsidRDefault="00400F13" w:rsidP="00646D31">
            <w:pPr>
              <w:ind w:left="589"/>
              <w:rPr>
                <w:rFonts w:ascii="Calibri" w:hAnsi="Calibri" w:cs="Calibri"/>
                <w:lang w:val="en-US"/>
              </w:rPr>
            </w:pPr>
            <w:r w:rsidRPr="009D0F1D">
              <w:rPr>
                <w:rFonts w:ascii="Calibri" w:hAnsi="Calibri" w:cs="Calibri"/>
                <w:i/>
                <w:iCs/>
                <w:lang w:val="en-US"/>
              </w:rPr>
              <w:t>“digital and data services provided through ICT systems to one or more internal or external users on an ongoing basis, including hardware as a service and hardware services which includes the provision of technical support via software or firmware updates by the hardware provider, excluding traditional analogue telephone services”</w:t>
            </w:r>
          </w:p>
        </w:tc>
      </w:tr>
      <w:tr w:rsidR="00A15443" w:rsidRPr="009D0367" w14:paraId="760CEA56" w14:textId="77777777" w:rsidTr="00425363">
        <w:tc>
          <w:tcPr>
            <w:tcW w:w="778" w:type="dxa"/>
          </w:tcPr>
          <w:p w14:paraId="6610005D" w14:textId="47E8C3C7" w:rsidR="00A15443" w:rsidRDefault="000F4B87" w:rsidP="00A15443">
            <w:pPr>
              <w:rPr>
                <w:rFonts w:ascii="Calibri" w:hAnsi="Calibri" w:cs="Calibri"/>
                <w:lang w:val="en-US"/>
              </w:rPr>
            </w:pPr>
            <w:r>
              <w:rPr>
                <w:rFonts w:ascii="Calibri" w:hAnsi="Calibri" w:cs="Calibri"/>
                <w:lang w:val="en-US"/>
              </w:rPr>
              <w:t>34.</w:t>
            </w:r>
          </w:p>
        </w:tc>
        <w:tc>
          <w:tcPr>
            <w:tcW w:w="5210" w:type="dxa"/>
          </w:tcPr>
          <w:p w14:paraId="0EEAE713" w14:textId="7C1B867D" w:rsidR="00A15443" w:rsidRDefault="00853656" w:rsidP="00A15443">
            <w:pPr>
              <w:rPr>
                <w:rFonts w:ascii="Calibri" w:hAnsi="Calibri" w:cs="Calibri"/>
                <w:color w:val="000000"/>
                <w:lang w:val="en-US"/>
              </w:rPr>
            </w:pPr>
            <w:r>
              <w:rPr>
                <w:rFonts w:ascii="Calibri" w:hAnsi="Calibri" w:cs="Calibri"/>
                <w:color w:val="000000"/>
                <w:lang w:val="en-US"/>
              </w:rPr>
              <w:t>A</w:t>
            </w:r>
            <w:r w:rsidR="000F4B87" w:rsidRPr="000F4B87">
              <w:rPr>
                <w:rFonts w:ascii="Calibri" w:hAnsi="Calibri" w:cs="Calibri"/>
                <w:color w:val="000000"/>
                <w:lang w:val="en-US"/>
              </w:rPr>
              <w:t xml:space="preserve"> clear and complete description of all functions and ICT services to be provided by the ICT third-party service provider, indicating whether subcontracting of an ICT service supporting a critical or important function, or material parts thereof, is permitted and, when that is the case, the conditions applying to such subcontracting</w:t>
            </w:r>
            <w:r w:rsidR="00D14F95">
              <w:rPr>
                <w:rFonts w:ascii="Calibri" w:hAnsi="Calibri" w:cs="Calibri"/>
                <w:color w:val="000000"/>
                <w:lang w:val="en-US"/>
              </w:rPr>
              <w:t>.</w:t>
            </w:r>
          </w:p>
        </w:tc>
        <w:tc>
          <w:tcPr>
            <w:tcW w:w="1275" w:type="dxa"/>
          </w:tcPr>
          <w:p w14:paraId="64AF7DF8" w14:textId="77777777" w:rsidR="00A15443" w:rsidRPr="00295056" w:rsidRDefault="00A15443" w:rsidP="00A15443">
            <w:pPr>
              <w:rPr>
                <w:rFonts w:ascii="Calibri" w:hAnsi="Calibri" w:cs="Calibri"/>
                <w:lang w:val="en-US"/>
              </w:rPr>
            </w:pPr>
          </w:p>
        </w:tc>
        <w:tc>
          <w:tcPr>
            <w:tcW w:w="1834" w:type="dxa"/>
          </w:tcPr>
          <w:p w14:paraId="3B808A88" w14:textId="77777777" w:rsidR="00A15443" w:rsidRPr="00295056" w:rsidRDefault="00A15443" w:rsidP="00A15443">
            <w:pPr>
              <w:rPr>
                <w:rFonts w:ascii="Calibri" w:hAnsi="Calibri" w:cs="Calibri"/>
                <w:lang w:val="en-US"/>
              </w:rPr>
            </w:pPr>
          </w:p>
        </w:tc>
        <w:tc>
          <w:tcPr>
            <w:tcW w:w="4242" w:type="dxa"/>
          </w:tcPr>
          <w:p w14:paraId="4D4F4B69" w14:textId="77777777" w:rsidR="00A15443" w:rsidRPr="00295056" w:rsidRDefault="00A15443" w:rsidP="00A15443">
            <w:pPr>
              <w:rPr>
                <w:rFonts w:ascii="Calibri" w:hAnsi="Calibri" w:cs="Calibri"/>
                <w:lang w:val="en-US"/>
              </w:rPr>
            </w:pPr>
          </w:p>
        </w:tc>
      </w:tr>
      <w:tr w:rsidR="00D14F95" w:rsidRPr="009D0367" w14:paraId="62A803FE" w14:textId="77777777" w:rsidTr="00425363">
        <w:tc>
          <w:tcPr>
            <w:tcW w:w="778" w:type="dxa"/>
          </w:tcPr>
          <w:p w14:paraId="220B20AB" w14:textId="04ED32A9" w:rsidR="00D14F95" w:rsidRDefault="00D14F95" w:rsidP="00A15443">
            <w:pPr>
              <w:rPr>
                <w:rFonts w:ascii="Calibri" w:hAnsi="Calibri" w:cs="Calibri"/>
                <w:lang w:val="en-US"/>
              </w:rPr>
            </w:pPr>
            <w:r>
              <w:rPr>
                <w:rFonts w:ascii="Calibri" w:hAnsi="Calibri" w:cs="Calibri"/>
                <w:lang w:val="en-US"/>
              </w:rPr>
              <w:t>35.</w:t>
            </w:r>
          </w:p>
        </w:tc>
        <w:tc>
          <w:tcPr>
            <w:tcW w:w="5210" w:type="dxa"/>
          </w:tcPr>
          <w:p w14:paraId="1FF103EF" w14:textId="66009FEC" w:rsidR="00D14F95" w:rsidRPr="000F4B87" w:rsidRDefault="00853656" w:rsidP="00A15443">
            <w:pPr>
              <w:rPr>
                <w:rFonts w:ascii="Calibri" w:hAnsi="Calibri" w:cs="Calibri"/>
                <w:color w:val="000000"/>
                <w:lang w:val="en-US"/>
              </w:rPr>
            </w:pPr>
            <w:r>
              <w:rPr>
                <w:rFonts w:ascii="Calibri" w:hAnsi="Calibri" w:cs="Calibri"/>
                <w:color w:val="000000"/>
                <w:lang w:val="en-US"/>
              </w:rPr>
              <w:t>T</w:t>
            </w:r>
            <w:r w:rsidR="00D14F95" w:rsidRPr="00D14F95">
              <w:rPr>
                <w:rFonts w:ascii="Calibri" w:hAnsi="Calibri" w:cs="Calibri"/>
                <w:color w:val="000000"/>
                <w:lang w:val="en-US"/>
              </w:rPr>
              <w:t xml:space="preserve">he locations, namely the regions or countries, where the contracted or subcontracted functions and ICT services are to be provided and where data is to be processed, including the storage location, and the </w:t>
            </w:r>
            <w:r w:rsidR="00D14F95" w:rsidRPr="00D14F95">
              <w:rPr>
                <w:rFonts w:ascii="Calibri" w:hAnsi="Calibri" w:cs="Calibri"/>
                <w:color w:val="000000"/>
                <w:lang w:val="en-US"/>
              </w:rPr>
              <w:lastRenderedPageBreak/>
              <w:t>requirement for the ICT third-party service provider to notify the financial entity in advance if it envisages changing such locations</w:t>
            </w:r>
            <w:r w:rsidR="00D14F95">
              <w:rPr>
                <w:rFonts w:ascii="Calibri" w:hAnsi="Calibri" w:cs="Calibri"/>
                <w:color w:val="000000"/>
                <w:lang w:val="en-US"/>
              </w:rPr>
              <w:t>.</w:t>
            </w:r>
          </w:p>
        </w:tc>
        <w:tc>
          <w:tcPr>
            <w:tcW w:w="1275" w:type="dxa"/>
          </w:tcPr>
          <w:p w14:paraId="7C30AA0F" w14:textId="77777777" w:rsidR="00D14F95" w:rsidRPr="00295056" w:rsidRDefault="00D14F95" w:rsidP="00A15443">
            <w:pPr>
              <w:rPr>
                <w:rFonts w:ascii="Calibri" w:hAnsi="Calibri" w:cs="Calibri"/>
                <w:lang w:val="en-US"/>
              </w:rPr>
            </w:pPr>
          </w:p>
        </w:tc>
        <w:tc>
          <w:tcPr>
            <w:tcW w:w="1834" w:type="dxa"/>
          </w:tcPr>
          <w:p w14:paraId="71F8F12A" w14:textId="77777777" w:rsidR="00D14F95" w:rsidRPr="00295056" w:rsidRDefault="00D14F95" w:rsidP="00A15443">
            <w:pPr>
              <w:rPr>
                <w:rFonts w:ascii="Calibri" w:hAnsi="Calibri" w:cs="Calibri"/>
                <w:lang w:val="en-US"/>
              </w:rPr>
            </w:pPr>
          </w:p>
        </w:tc>
        <w:tc>
          <w:tcPr>
            <w:tcW w:w="4242" w:type="dxa"/>
          </w:tcPr>
          <w:p w14:paraId="7648D1DD" w14:textId="77777777" w:rsidR="00D14F95" w:rsidRPr="00295056" w:rsidRDefault="00D14F95" w:rsidP="00A15443">
            <w:pPr>
              <w:rPr>
                <w:rFonts w:ascii="Calibri" w:hAnsi="Calibri" w:cs="Calibri"/>
                <w:lang w:val="en-US"/>
              </w:rPr>
            </w:pPr>
          </w:p>
        </w:tc>
      </w:tr>
      <w:tr w:rsidR="00D14F95" w:rsidRPr="009D0367" w14:paraId="7418E56C" w14:textId="77777777" w:rsidTr="00425363">
        <w:tc>
          <w:tcPr>
            <w:tcW w:w="778" w:type="dxa"/>
          </w:tcPr>
          <w:p w14:paraId="5DC100B2" w14:textId="75AEBD1B" w:rsidR="00D14F95" w:rsidRDefault="00D14F95" w:rsidP="00A15443">
            <w:pPr>
              <w:rPr>
                <w:rFonts w:ascii="Calibri" w:hAnsi="Calibri" w:cs="Calibri"/>
                <w:lang w:val="en-US"/>
              </w:rPr>
            </w:pPr>
            <w:r>
              <w:rPr>
                <w:rFonts w:ascii="Calibri" w:hAnsi="Calibri" w:cs="Calibri"/>
                <w:lang w:val="en-US"/>
              </w:rPr>
              <w:t xml:space="preserve">36. </w:t>
            </w:r>
          </w:p>
        </w:tc>
        <w:tc>
          <w:tcPr>
            <w:tcW w:w="5210" w:type="dxa"/>
          </w:tcPr>
          <w:p w14:paraId="5044969D" w14:textId="53BBA807" w:rsidR="00D14F95" w:rsidRPr="00C1347B" w:rsidRDefault="00853656" w:rsidP="00A15443">
            <w:pPr>
              <w:rPr>
                <w:rFonts w:ascii="Calibri" w:hAnsi="Calibri" w:cs="Calibri"/>
                <w:color w:val="000000"/>
                <w:lang w:val="en-US"/>
              </w:rPr>
            </w:pPr>
            <w:r>
              <w:rPr>
                <w:rFonts w:ascii="Calibri" w:hAnsi="Calibri" w:cs="Calibri"/>
                <w:color w:val="000000"/>
                <w:lang w:val="en-US"/>
              </w:rPr>
              <w:t>P</w:t>
            </w:r>
            <w:r w:rsidR="00C1347B" w:rsidRPr="00C1347B">
              <w:rPr>
                <w:rFonts w:ascii="Calibri" w:hAnsi="Calibri" w:cs="Calibri"/>
                <w:color w:val="000000"/>
                <w:lang w:val="en-US"/>
              </w:rPr>
              <w:t>rovisions on availability, authenticity, integrity and confidentiality in relation to the protection of data, including personal data</w:t>
            </w:r>
            <w:r w:rsidR="00C1347B">
              <w:rPr>
                <w:rFonts w:ascii="Calibri" w:hAnsi="Calibri" w:cs="Calibri"/>
                <w:color w:val="000000"/>
                <w:lang w:val="en-US"/>
              </w:rPr>
              <w:t>.</w:t>
            </w:r>
          </w:p>
        </w:tc>
        <w:tc>
          <w:tcPr>
            <w:tcW w:w="1275" w:type="dxa"/>
          </w:tcPr>
          <w:p w14:paraId="7252D8BA" w14:textId="77777777" w:rsidR="00D14F95" w:rsidRPr="00295056" w:rsidRDefault="00D14F95" w:rsidP="00A15443">
            <w:pPr>
              <w:rPr>
                <w:rFonts w:ascii="Calibri" w:hAnsi="Calibri" w:cs="Calibri"/>
                <w:lang w:val="en-US"/>
              </w:rPr>
            </w:pPr>
          </w:p>
        </w:tc>
        <w:tc>
          <w:tcPr>
            <w:tcW w:w="1834" w:type="dxa"/>
          </w:tcPr>
          <w:p w14:paraId="6F5153A6" w14:textId="77777777" w:rsidR="00D14F95" w:rsidRPr="00295056" w:rsidRDefault="00D14F95" w:rsidP="00A15443">
            <w:pPr>
              <w:rPr>
                <w:rFonts w:ascii="Calibri" w:hAnsi="Calibri" w:cs="Calibri"/>
                <w:lang w:val="en-US"/>
              </w:rPr>
            </w:pPr>
          </w:p>
        </w:tc>
        <w:tc>
          <w:tcPr>
            <w:tcW w:w="4242" w:type="dxa"/>
          </w:tcPr>
          <w:p w14:paraId="1E02FFB8" w14:textId="77777777" w:rsidR="00D14F95" w:rsidRPr="00295056" w:rsidRDefault="00D14F95" w:rsidP="00A15443">
            <w:pPr>
              <w:rPr>
                <w:rFonts w:ascii="Calibri" w:hAnsi="Calibri" w:cs="Calibri"/>
                <w:lang w:val="en-US"/>
              </w:rPr>
            </w:pPr>
          </w:p>
        </w:tc>
      </w:tr>
      <w:tr w:rsidR="00C1347B" w:rsidRPr="009D0367" w14:paraId="0266BEFB" w14:textId="77777777" w:rsidTr="00425363">
        <w:tc>
          <w:tcPr>
            <w:tcW w:w="778" w:type="dxa"/>
          </w:tcPr>
          <w:p w14:paraId="00E1A62D" w14:textId="3DCECC0F" w:rsidR="00C1347B" w:rsidRDefault="00C1347B" w:rsidP="00A15443">
            <w:pPr>
              <w:rPr>
                <w:rFonts w:ascii="Calibri" w:hAnsi="Calibri" w:cs="Calibri"/>
                <w:lang w:val="en-US"/>
              </w:rPr>
            </w:pPr>
            <w:r>
              <w:rPr>
                <w:rFonts w:ascii="Calibri" w:hAnsi="Calibri" w:cs="Calibri"/>
                <w:lang w:val="en-US"/>
              </w:rPr>
              <w:t>37.</w:t>
            </w:r>
          </w:p>
        </w:tc>
        <w:tc>
          <w:tcPr>
            <w:tcW w:w="5210" w:type="dxa"/>
          </w:tcPr>
          <w:p w14:paraId="6BB0B6AE" w14:textId="1FF5DF6C" w:rsidR="00C1347B" w:rsidRPr="00C1347B" w:rsidRDefault="00853656" w:rsidP="00A15443">
            <w:pPr>
              <w:rPr>
                <w:rFonts w:ascii="Calibri" w:hAnsi="Calibri" w:cs="Calibri"/>
                <w:color w:val="000000"/>
                <w:lang w:val="en-US"/>
              </w:rPr>
            </w:pPr>
            <w:r>
              <w:rPr>
                <w:rFonts w:ascii="Calibri" w:hAnsi="Calibri" w:cs="Calibri"/>
                <w:color w:val="000000"/>
                <w:lang w:val="en-US"/>
              </w:rPr>
              <w:t>P</w:t>
            </w:r>
            <w:r w:rsidR="00C1347B" w:rsidRPr="00C1347B">
              <w:rPr>
                <w:rFonts w:ascii="Calibri" w:hAnsi="Calibri" w:cs="Calibri"/>
                <w:color w:val="000000"/>
                <w:lang w:val="en-US"/>
              </w:rPr>
              <w:t>rovisions on ensuring access, recovery and return in an easily accessible format of personal and non-personal data processed by the financial entity in the event of the insolvency, resolution or discontinuation of the business operations of the ICT third-party service provider, or in the event of the termination of the contractual arrangements</w:t>
            </w:r>
            <w:r w:rsidR="00C1347B">
              <w:rPr>
                <w:rFonts w:ascii="Calibri" w:hAnsi="Calibri" w:cs="Calibri"/>
                <w:color w:val="000000"/>
                <w:lang w:val="en-US"/>
              </w:rPr>
              <w:t>.</w:t>
            </w:r>
          </w:p>
        </w:tc>
        <w:tc>
          <w:tcPr>
            <w:tcW w:w="1275" w:type="dxa"/>
          </w:tcPr>
          <w:p w14:paraId="755D231A" w14:textId="77777777" w:rsidR="00C1347B" w:rsidRPr="00295056" w:rsidRDefault="00C1347B" w:rsidP="00A15443">
            <w:pPr>
              <w:rPr>
                <w:rFonts w:ascii="Calibri" w:hAnsi="Calibri" w:cs="Calibri"/>
                <w:lang w:val="en-US"/>
              </w:rPr>
            </w:pPr>
          </w:p>
        </w:tc>
        <w:tc>
          <w:tcPr>
            <w:tcW w:w="1834" w:type="dxa"/>
          </w:tcPr>
          <w:p w14:paraId="1118856C" w14:textId="77777777" w:rsidR="00C1347B" w:rsidRPr="00295056" w:rsidRDefault="00C1347B" w:rsidP="00A15443">
            <w:pPr>
              <w:rPr>
                <w:rFonts w:ascii="Calibri" w:hAnsi="Calibri" w:cs="Calibri"/>
                <w:lang w:val="en-US"/>
              </w:rPr>
            </w:pPr>
          </w:p>
        </w:tc>
        <w:tc>
          <w:tcPr>
            <w:tcW w:w="4242" w:type="dxa"/>
          </w:tcPr>
          <w:p w14:paraId="74C34624" w14:textId="77777777" w:rsidR="00C1347B" w:rsidRPr="00295056" w:rsidRDefault="00C1347B" w:rsidP="00A15443">
            <w:pPr>
              <w:rPr>
                <w:rFonts w:ascii="Calibri" w:hAnsi="Calibri" w:cs="Calibri"/>
                <w:lang w:val="en-US"/>
              </w:rPr>
            </w:pPr>
          </w:p>
        </w:tc>
      </w:tr>
      <w:tr w:rsidR="0059794C" w:rsidRPr="009D0367" w14:paraId="2608A594" w14:textId="77777777" w:rsidTr="00425363">
        <w:tc>
          <w:tcPr>
            <w:tcW w:w="778" w:type="dxa"/>
          </w:tcPr>
          <w:p w14:paraId="6A099F66" w14:textId="3B5EC3CB" w:rsidR="0059794C" w:rsidRDefault="0059794C" w:rsidP="00A15443">
            <w:pPr>
              <w:rPr>
                <w:rFonts w:ascii="Calibri" w:hAnsi="Calibri" w:cs="Calibri"/>
                <w:lang w:val="en-US"/>
              </w:rPr>
            </w:pPr>
            <w:r>
              <w:rPr>
                <w:rFonts w:ascii="Calibri" w:hAnsi="Calibri" w:cs="Calibri"/>
                <w:lang w:val="en-US"/>
              </w:rPr>
              <w:t>38.</w:t>
            </w:r>
          </w:p>
        </w:tc>
        <w:tc>
          <w:tcPr>
            <w:tcW w:w="5210" w:type="dxa"/>
          </w:tcPr>
          <w:p w14:paraId="0E350897" w14:textId="33AF26A0" w:rsidR="0059794C" w:rsidRPr="0059794C" w:rsidRDefault="00853656" w:rsidP="00A15443">
            <w:pPr>
              <w:rPr>
                <w:rFonts w:ascii="Calibri" w:hAnsi="Calibri" w:cs="Calibri"/>
                <w:color w:val="000000"/>
                <w:lang w:val="en-US"/>
              </w:rPr>
            </w:pPr>
            <w:r>
              <w:rPr>
                <w:rFonts w:ascii="Calibri" w:hAnsi="Calibri" w:cs="Calibri"/>
                <w:color w:val="000000"/>
                <w:lang w:val="en-US"/>
              </w:rPr>
              <w:t>S</w:t>
            </w:r>
            <w:r w:rsidR="0059794C" w:rsidRPr="0059794C">
              <w:rPr>
                <w:rFonts w:ascii="Calibri" w:hAnsi="Calibri" w:cs="Calibri"/>
                <w:color w:val="000000"/>
                <w:lang w:val="en-US"/>
              </w:rPr>
              <w:t>ervice level descriptions, including updates and revisions thereof</w:t>
            </w:r>
            <w:r w:rsidR="0059794C">
              <w:rPr>
                <w:rFonts w:ascii="Calibri" w:hAnsi="Calibri" w:cs="Calibri"/>
                <w:color w:val="000000"/>
                <w:lang w:val="en-US"/>
              </w:rPr>
              <w:t>.</w:t>
            </w:r>
          </w:p>
        </w:tc>
        <w:tc>
          <w:tcPr>
            <w:tcW w:w="1275" w:type="dxa"/>
          </w:tcPr>
          <w:p w14:paraId="239737FD" w14:textId="77777777" w:rsidR="0059794C" w:rsidRPr="00295056" w:rsidRDefault="0059794C" w:rsidP="00A15443">
            <w:pPr>
              <w:rPr>
                <w:rFonts w:ascii="Calibri" w:hAnsi="Calibri" w:cs="Calibri"/>
                <w:lang w:val="en-US"/>
              </w:rPr>
            </w:pPr>
          </w:p>
        </w:tc>
        <w:tc>
          <w:tcPr>
            <w:tcW w:w="1834" w:type="dxa"/>
          </w:tcPr>
          <w:p w14:paraId="7B4BA20C" w14:textId="77777777" w:rsidR="0059794C" w:rsidRPr="00295056" w:rsidRDefault="0059794C" w:rsidP="00A15443">
            <w:pPr>
              <w:rPr>
                <w:rFonts w:ascii="Calibri" w:hAnsi="Calibri" w:cs="Calibri"/>
                <w:lang w:val="en-US"/>
              </w:rPr>
            </w:pPr>
          </w:p>
        </w:tc>
        <w:tc>
          <w:tcPr>
            <w:tcW w:w="4242" w:type="dxa"/>
          </w:tcPr>
          <w:p w14:paraId="1F94AEF5" w14:textId="77777777" w:rsidR="0059794C" w:rsidRPr="00295056" w:rsidRDefault="0059794C" w:rsidP="00A15443">
            <w:pPr>
              <w:rPr>
                <w:rFonts w:ascii="Calibri" w:hAnsi="Calibri" w:cs="Calibri"/>
                <w:lang w:val="en-US"/>
              </w:rPr>
            </w:pPr>
          </w:p>
        </w:tc>
      </w:tr>
      <w:tr w:rsidR="0059794C" w:rsidRPr="009D0367" w14:paraId="3B489FDE" w14:textId="77777777" w:rsidTr="00425363">
        <w:tc>
          <w:tcPr>
            <w:tcW w:w="778" w:type="dxa"/>
          </w:tcPr>
          <w:p w14:paraId="3F2AA24E" w14:textId="592EA5B5" w:rsidR="0059794C" w:rsidRDefault="0059794C" w:rsidP="00A15443">
            <w:pPr>
              <w:rPr>
                <w:rFonts w:ascii="Calibri" w:hAnsi="Calibri" w:cs="Calibri"/>
                <w:lang w:val="en-US"/>
              </w:rPr>
            </w:pPr>
            <w:r>
              <w:rPr>
                <w:rFonts w:ascii="Calibri" w:hAnsi="Calibri" w:cs="Calibri"/>
                <w:lang w:val="en-US"/>
              </w:rPr>
              <w:t>39.</w:t>
            </w:r>
          </w:p>
        </w:tc>
        <w:tc>
          <w:tcPr>
            <w:tcW w:w="5210" w:type="dxa"/>
          </w:tcPr>
          <w:p w14:paraId="61A15EC7" w14:textId="6169A615" w:rsidR="0059794C" w:rsidRPr="0059794C" w:rsidRDefault="00853656" w:rsidP="00A15443">
            <w:pPr>
              <w:rPr>
                <w:rFonts w:ascii="Calibri" w:hAnsi="Calibri" w:cs="Calibri"/>
                <w:color w:val="000000"/>
                <w:lang w:val="en-US"/>
              </w:rPr>
            </w:pPr>
            <w:r>
              <w:rPr>
                <w:rFonts w:ascii="Calibri" w:hAnsi="Calibri" w:cs="Calibri"/>
                <w:color w:val="000000"/>
                <w:lang w:val="en-US"/>
              </w:rPr>
              <w:t>T</w:t>
            </w:r>
            <w:r w:rsidRPr="00853656">
              <w:rPr>
                <w:rFonts w:ascii="Calibri" w:hAnsi="Calibri" w:cs="Calibri"/>
                <w:color w:val="000000"/>
                <w:lang w:val="en-US"/>
              </w:rPr>
              <w:t>he obligation of the ICT third-party service provider to provide assistance to the financial entity at no additional cost, or at a cost that is determined ex-ante, when an ICT incident that is related to the ICT service provided to the financial entity occurs</w:t>
            </w:r>
            <w:r>
              <w:rPr>
                <w:rFonts w:ascii="Calibri" w:hAnsi="Calibri" w:cs="Calibri"/>
                <w:color w:val="000000"/>
                <w:lang w:val="en-US"/>
              </w:rPr>
              <w:t>.</w:t>
            </w:r>
          </w:p>
        </w:tc>
        <w:tc>
          <w:tcPr>
            <w:tcW w:w="1275" w:type="dxa"/>
          </w:tcPr>
          <w:p w14:paraId="06BDED56" w14:textId="77777777" w:rsidR="0059794C" w:rsidRPr="00295056" w:rsidRDefault="0059794C" w:rsidP="00A15443">
            <w:pPr>
              <w:rPr>
                <w:rFonts w:ascii="Calibri" w:hAnsi="Calibri" w:cs="Calibri"/>
                <w:lang w:val="en-US"/>
              </w:rPr>
            </w:pPr>
          </w:p>
        </w:tc>
        <w:tc>
          <w:tcPr>
            <w:tcW w:w="1834" w:type="dxa"/>
          </w:tcPr>
          <w:p w14:paraId="3F46A514" w14:textId="77777777" w:rsidR="0059794C" w:rsidRPr="00295056" w:rsidRDefault="0059794C" w:rsidP="00A15443">
            <w:pPr>
              <w:rPr>
                <w:rFonts w:ascii="Calibri" w:hAnsi="Calibri" w:cs="Calibri"/>
                <w:lang w:val="en-US"/>
              </w:rPr>
            </w:pPr>
          </w:p>
        </w:tc>
        <w:tc>
          <w:tcPr>
            <w:tcW w:w="4242" w:type="dxa"/>
          </w:tcPr>
          <w:p w14:paraId="1437C9E2" w14:textId="77777777" w:rsidR="0059794C" w:rsidRPr="00295056" w:rsidRDefault="0059794C" w:rsidP="00A15443">
            <w:pPr>
              <w:rPr>
                <w:rFonts w:ascii="Calibri" w:hAnsi="Calibri" w:cs="Calibri"/>
                <w:lang w:val="en-US"/>
              </w:rPr>
            </w:pPr>
          </w:p>
        </w:tc>
      </w:tr>
      <w:tr w:rsidR="00853656" w:rsidRPr="009D0367" w14:paraId="42A6B531" w14:textId="77777777" w:rsidTr="00425363">
        <w:tc>
          <w:tcPr>
            <w:tcW w:w="778" w:type="dxa"/>
          </w:tcPr>
          <w:p w14:paraId="1400D10E" w14:textId="4F526856" w:rsidR="00853656" w:rsidRDefault="00853656" w:rsidP="00A15443">
            <w:pPr>
              <w:rPr>
                <w:rFonts w:ascii="Calibri" w:hAnsi="Calibri" w:cs="Calibri"/>
                <w:lang w:val="en-US"/>
              </w:rPr>
            </w:pPr>
            <w:r>
              <w:rPr>
                <w:rFonts w:ascii="Calibri" w:hAnsi="Calibri" w:cs="Calibri"/>
                <w:lang w:val="en-US"/>
              </w:rPr>
              <w:t>40.</w:t>
            </w:r>
          </w:p>
        </w:tc>
        <w:tc>
          <w:tcPr>
            <w:tcW w:w="5210" w:type="dxa"/>
          </w:tcPr>
          <w:p w14:paraId="7E60B177" w14:textId="37BAFC43" w:rsidR="00853656" w:rsidRPr="00853656" w:rsidRDefault="00916265" w:rsidP="00A15443">
            <w:pPr>
              <w:rPr>
                <w:rFonts w:ascii="Calibri" w:hAnsi="Calibri" w:cs="Calibri"/>
                <w:color w:val="000000"/>
                <w:lang w:val="en-US"/>
              </w:rPr>
            </w:pPr>
            <w:r>
              <w:rPr>
                <w:rFonts w:ascii="Calibri" w:hAnsi="Calibri" w:cs="Calibri"/>
                <w:color w:val="000000"/>
                <w:lang w:val="en-US"/>
              </w:rPr>
              <w:t>T</w:t>
            </w:r>
            <w:r w:rsidRPr="00916265">
              <w:rPr>
                <w:rFonts w:ascii="Calibri" w:hAnsi="Calibri" w:cs="Calibri"/>
                <w:color w:val="000000"/>
                <w:lang w:val="en-US"/>
              </w:rPr>
              <w:t>he obligation of the ICT third-party service provider to fully cooperate with the competent authorities and the resolution authorities of the financial entity, including persons appointed by them</w:t>
            </w:r>
            <w:r>
              <w:rPr>
                <w:rFonts w:ascii="Calibri" w:hAnsi="Calibri" w:cs="Calibri"/>
                <w:color w:val="000000"/>
                <w:lang w:val="en-US"/>
              </w:rPr>
              <w:t>.</w:t>
            </w:r>
          </w:p>
        </w:tc>
        <w:tc>
          <w:tcPr>
            <w:tcW w:w="1275" w:type="dxa"/>
          </w:tcPr>
          <w:p w14:paraId="5E8528F3" w14:textId="77777777" w:rsidR="00853656" w:rsidRPr="00295056" w:rsidRDefault="00853656" w:rsidP="00A15443">
            <w:pPr>
              <w:rPr>
                <w:rFonts w:ascii="Calibri" w:hAnsi="Calibri" w:cs="Calibri"/>
                <w:lang w:val="en-US"/>
              </w:rPr>
            </w:pPr>
          </w:p>
        </w:tc>
        <w:tc>
          <w:tcPr>
            <w:tcW w:w="1834" w:type="dxa"/>
          </w:tcPr>
          <w:p w14:paraId="3580E2E5" w14:textId="77777777" w:rsidR="00853656" w:rsidRPr="00295056" w:rsidRDefault="00853656" w:rsidP="00A15443">
            <w:pPr>
              <w:rPr>
                <w:rFonts w:ascii="Calibri" w:hAnsi="Calibri" w:cs="Calibri"/>
                <w:lang w:val="en-US"/>
              </w:rPr>
            </w:pPr>
          </w:p>
        </w:tc>
        <w:tc>
          <w:tcPr>
            <w:tcW w:w="4242" w:type="dxa"/>
          </w:tcPr>
          <w:p w14:paraId="2C8D4542" w14:textId="77777777" w:rsidR="00853656" w:rsidRPr="00295056" w:rsidRDefault="00853656" w:rsidP="00A15443">
            <w:pPr>
              <w:rPr>
                <w:rFonts w:ascii="Calibri" w:hAnsi="Calibri" w:cs="Calibri"/>
                <w:lang w:val="en-US"/>
              </w:rPr>
            </w:pPr>
          </w:p>
        </w:tc>
      </w:tr>
      <w:tr w:rsidR="00916265" w:rsidRPr="009D0367" w14:paraId="19AA4F77" w14:textId="77777777" w:rsidTr="00425363">
        <w:tc>
          <w:tcPr>
            <w:tcW w:w="778" w:type="dxa"/>
          </w:tcPr>
          <w:p w14:paraId="00FCA50E" w14:textId="07F9E767" w:rsidR="00916265" w:rsidRDefault="00916265" w:rsidP="00A15443">
            <w:pPr>
              <w:rPr>
                <w:rFonts w:ascii="Calibri" w:hAnsi="Calibri" w:cs="Calibri"/>
                <w:lang w:val="en-US"/>
              </w:rPr>
            </w:pPr>
            <w:r>
              <w:rPr>
                <w:rFonts w:ascii="Calibri" w:hAnsi="Calibri" w:cs="Calibri"/>
                <w:lang w:val="en-US"/>
              </w:rPr>
              <w:t>41.</w:t>
            </w:r>
          </w:p>
        </w:tc>
        <w:tc>
          <w:tcPr>
            <w:tcW w:w="5210" w:type="dxa"/>
          </w:tcPr>
          <w:p w14:paraId="7754C98C" w14:textId="2760C5AE" w:rsidR="00916265" w:rsidRPr="00916265" w:rsidRDefault="00916265" w:rsidP="00A15443">
            <w:pPr>
              <w:rPr>
                <w:rFonts w:ascii="Calibri" w:hAnsi="Calibri" w:cs="Calibri"/>
                <w:color w:val="000000"/>
                <w:lang w:val="en-US"/>
              </w:rPr>
            </w:pPr>
            <w:r>
              <w:rPr>
                <w:rFonts w:ascii="Calibri" w:hAnsi="Calibri" w:cs="Calibri"/>
                <w:color w:val="000000"/>
                <w:lang w:val="en-US"/>
              </w:rPr>
              <w:t>T</w:t>
            </w:r>
            <w:r w:rsidRPr="00916265">
              <w:rPr>
                <w:rFonts w:ascii="Calibri" w:hAnsi="Calibri" w:cs="Calibri"/>
                <w:color w:val="000000"/>
                <w:lang w:val="en-US"/>
              </w:rPr>
              <w:t>ermination rights and related minimum notice periods for the termination of the contractual arrangements, in accordance with the expectations of competent authorities and resolution authorities</w:t>
            </w:r>
            <w:r>
              <w:rPr>
                <w:rFonts w:ascii="Calibri" w:hAnsi="Calibri" w:cs="Calibri"/>
                <w:color w:val="000000"/>
                <w:lang w:val="en-US"/>
              </w:rPr>
              <w:t>.</w:t>
            </w:r>
          </w:p>
        </w:tc>
        <w:tc>
          <w:tcPr>
            <w:tcW w:w="1275" w:type="dxa"/>
          </w:tcPr>
          <w:p w14:paraId="0AC4FA4C" w14:textId="77777777" w:rsidR="00916265" w:rsidRPr="00295056" w:rsidRDefault="00916265" w:rsidP="00A15443">
            <w:pPr>
              <w:rPr>
                <w:rFonts w:ascii="Calibri" w:hAnsi="Calibri" w:cs="Calibri"/>
                <w:lang w:val="en-US"/>
              </w:rPr>
            </w:pPr>
          </w:p>
        </w:tc>
        <w:tc>
          <w:tcPr>
            <w:tcW w:w="1834" w:type="dxa"/>
          </w:tcPr>
          <w:p w14:paraId="41C2ECFB" w14:textId="77777777" w:rsidR="00916265" w:rsidRPr="00295056" w:rsidRDefault="00916265" w:rsidP="00A15443">
            <w:pPr>
              <w:rPr>
                <w:rFonts w:ascii="Calibri" w:hAnsi="Calibri" w:cs="Calibri"/>
                <w:lang w:val="en-US"/>
              </w:rPr>
            </w:pPr>
          </w:p>
        </w:tc>
        <w:tc>
          <w:tcPr>
            <w:tcW w:w="4242" w:type="dxa"/>
          </w:tcPr>
          <w:p w14:paraId="6E0A3BF0" w14:textId="77777777" w:rsidR="00916265" w:rsidRPr="00295056" w:rsidRDefault="00916265" w:rsidP="00A15443">
            <w:pPr>
              <w:rPr>
                <w:rFonts w:ascii="Calibri" w:hAnsi="Calibri" w:cs="Calibri"/>
                <w:lang w:val="en-US"/>
              </w:rPr>
            </w:pPr>
          </w:p>
        </w:tc>
      </w:tr>
      <w:tr w:rsidR="0071674B" w:rsidRPr="009D0367" w14:paraId="3ED47E75" w14:textId="77777777" w:rsidTr="00425363">
        <w:tc>
          <w:tcPr>
            <w:tcW w:w="778" w:type="dxa"/>
          </w:tcPr>
          <w:p w14:paraId="6CF0BF8B" w14:textId="78C7F7CE" w:rsidR="0071674B" w:rsidRDefault="0071674B" w:rsidP="00A15443">
            <w:pPr>
              <w:rPr>
                <w:rFonts w:ascii="Calibri" w:hAnsi="Calibri" w:cs="Calibri"/>
                <w:lang w:val="en-US"/>
              </w:rPr>
            </w:pPr>
            <w:r>
              <w:rPr>
                <w:rFonts w:ascii="Calibri" w:hAnsi="Calibri" w:cs="Calibri"/>
                <w:lang w:val="en-US"/>
              </w:rPr>
              <w:t>42.</w:t>
            </w:r>
          </w:p>
        </w:tc>
        <w:tc>
          <w:tcPr>
            <w:tcW w:w="5210" w:type="dxa"/>
          </w:tcPr>
          <w:p w14:paraId="6AF1311A" w14:textId="195529D9" w:rsidR="0071674B" w:rsidRDefault="0071674B" w:rsidP="0071674B">
            <w:pPr>
              <w:rPr>
                <w:rFonts w:ascii="Calibri" w:hAnsi="Calibri" w:cs="Calibri"/>
                <w:color w:val="000000"/>
                <w:lang w:val="en-US"/>
              </w:rPr>
            </w:pPr>
            <w:r>
              <w:rPr>
                <w:rFonts w:ascii="Calibri" w:hAnsi="Calibri" w:cs="Calibri"/>
                <w:color w:val="000000"/>
                <w:lang w:val="en-US"/>
              </w:rPr>
              <w:t>T</w:t>
            </w:r>
            <w:r w:rsidRPr="0071674B">
              <w:rPr>
                <w:rFonts w:ascii="Calibri" w:hAnsi="Calibri" w:cs="Calibri"/>
                <w:color w:val="000000"/>
                <w:lang w:val="en-US"/>
              </w:rPr>
              <w:t xml:space="preserve">he conditions for the participation of ICT third-party service providers in the financial entities’ ICT security awareness programmes and digital operational </w:t>
            </w:r>
            <w:r w:rsidRPr="0071674B">
              <w:rPr>
                <w:rFonts w:ascii="Calibri" w:hAnsi="Calibri" w:cs="Calibri"/>
                <w:color w:val="000000"/>
                <w:lang w:val="en-US"/>
              </w:rPr>
              <w:lastRenderedPageBreak/>
              <w:t>resilience training in accordance with Article 13(6)</w:t>
            </w:r>
            <w:r>
              <w:rPr>
                <w:rFonts w:ascii="Calibri" w:hAnsi="Calibri" w:cs="Calibri"/>
                <w:color w:val="000000"/>
                <w:lang w:val="en-US"/>
              </w:rPr>
              <w:t xml:space="preserve"> DORA</w:t>
            </w:r>
            <w:r w:rsidRPr="0071674B">
              <w:rPr>
                <w:rFonts w:ascii="Calibri" w:hAnsi="Calibri" w:cs="Calibri"/>
                <w:color w:val="000000"/>
                <w:lang w:val="en-US"/>
              </w:rPr>
              <w:t>.</w:t>
            </w:r>
          </w:p>
        </w:tc>
        <w:tc>
          <w:tcPr>
            <w:tcW w:w="1275" w:type="dxa"/>
          </w:tcPr>
          <w:p w14:paraId="41F5AB28" w14:textId="77777777" w:rsidR="0071674B" w:rsidRPr="00295056" w:rsidRDefault="0071674B" w:rsidP="00A15443">
            <w:pPr>
              <w:rPr>
                <w:rFonts w:ascii="Calibri" w:hAnsi="Calibri" w:cs="Calibri"/>
                <w:lang w:val="en-US"/>
              </w:rPr>
            </w:pPr>
          </w:p>
        </w:tc>
        <w:tc>
          <w:tcPr>
            <w:tcW w:w="1834" w:type="dxa"/>
          </w:tcPr>
          <w:p w14:paraId="08B3E8FD" w14:textId="77777777" w:rsidR="0071674B" w:rsidRPr="00295056" w:rsidRDefault="0071674B" w:rsidP="00A15443">
            <w:pPr>
              <w:rPr>
                <w:rFonts w:ascii="Calibri" w:hAnsi="Calibri" w:cs="Calibri"/>
                <w:lang w:val="en-US"/>
              </w:rPr>
            </w:pPr>
          </w:p>
        </w:tc>
        <w:tc>
          <w:tcPr>
            <w:tcW w:w="4242" w:type="dxa"/>
          </w:tcPr>
          <w:p w14:paraId="78FDE203" w14:textId="77777777" w:rsidR="0071674B" w:rsidRPr="00295056" w:rsidRDefault="0071674B" w:rsidP="00A15443">
            <w:pPr>
              <w:rPr>
                <w:rFonts w:ascii="Calibri" w:hAnsi="Calibri" w:cs="Calibri"/>
                <w:lang w:val="en-US"/>
              </w:rPr>
            </w:pPr>
          </w:p>
        </w:tc>
      </w:tr>
      <w:tr w:rsidR="00CB1945" w:rsidRPr="009D0367" w14:paraId="74B3D505" w14:textId="77777777" w:rsidTr="00425363">
        <w:tc>
          <w:tcPr>
            <w:tcW w:w="778" w:type="dxa"/>
          </w:tcPr>
          <w:p w14:paraId="38A076E4" w14:textId="384ECEDF" w:rsidR="00CB1945" w:rsidRDefault="0093281F" w:rsidP="00A15443">
            <w:pPr>
              <w:rPr>
                <w:rFonts w:ascii="Calibri" w:hAnsi="Calibri" w:cs="Calibri"/>
                <w:lang w:val="en-US"/>
              </w:rPr>
            </w:pPr>
            <w:r>
              <w:rPr>
                <w:rFonts w:ascii="Calibri" w:hAnsi="Calibri" w:cs="Calibri"/>
                <w:lang w:val="en-US"/>
              </w:rPr>
              <w:t>43.</w:t>
            </w:r>
          </w:p>
        </w:tc>
        <w:tc>
          <w:tcPr>
            <w:tcW w:w="5210" w:type="dxa"/>
          </w:tcPr>
          <w:p w14:paraId="7EFDEAFB" w14:textId="180814CB" w:rsidR="00CB1945" w:rsidRDefault="0093281F" w:rsidP="0071674B">
            <w:pPr>
              <w:rPr>
                <w:rFonts w:ascii="Calibri" w:hAnsi="Calibri" w:cs="Calibri"/>
                <w:color w:val="000000"/>
                <w:lang w:val="en-US"/>
              </w:rPr>
            </w:pPr>
            <w:r>
              <w:rPr>
                <w:rFonts w:ascii="Calibri" w:hAnsi="Calibri" w:cs="Calibri"/>
                <w:color w:val="000000"/>
                <w:lang w:val="en-US"/>
              </w:rPr>
              <w:t xml:space="preserve">Termination rights </w:t>
            </w:r>
            <w:r w:rsidR="008F407B">
              <w:rPr>
                <w:rFonts w:ascii="Calibri" w:hAnsi="Calibri" w:cs="Calibri"/>
                <w:color w:val="000000"/>
                <w:lang w:val="en-US"/>
              </w:rPr>
              <w:t>in the following circumstances:</w:t>
            </w:r>
          </w:p>
        </w:tc>
        <w:tc>
          <w:tcPr>
            <w:tcW w:w="1275" w:type="dxa"/>
          </w:tcPr>
          <w:p w14:paraId="6E2C9D6F" w14:textId="77777777" w:rsidR="00CB1945" w:rsidRPr="00295056" w:rsidRDefault="00CB1945" w:rsidP="00A15443">
            <w:pPr>
              <w:rPr>
                <w:rFonts w:ascii="Calibri" w:hAnsi="Calibri" w:cs="Calibri"/>
                <w:lang w:val="en-US"/>
              </w:rPr>
            </w:pPr>
          </w:p>
        </w:tc>
        <w:tc>
          <w:tcPr>
            <w:tcW w:w="1834" w:type="dxa"/>
          </w:tcPr>
          <w:p w14:paraId="40A0AE13" w14:textId="77777777" w:rsidR="00CB1945" w:rsidRPr="00295056" w:rsidRDefault="00CB1945" w:rsidP="00A15443">
            <w:pPr>
              <w:rPr>
                <w:rFonts w:ascii="Calibri" w:hAnsi="Calibri" w:cs="Calibri"/>
                <w:lang w:val="en-US"/>
              </w:rPr>
            </w:pPr>
          </w:p>
        </w:tc>
        <w:tc>
          <w:tcPr>
            <w:tcW w:w="4242" w:type="dxa"/>
          </w:tcPr>
          <w:p w14:paraId="6F42E764" w14:textId="77777777" w:rsidR="00CB1945" w:rsidRPr="00295056" w:rsidRDefault="00CB1945" w:rsidP="00A15443">
            <w:pPr>
              <w:rPr>
                <w:rFonts w:ascii="Calibri" w:hAnsi="Calibri" w:cs="Calibri"/>
                <w:lang w:val="en-US"/>
              </w:rPr>
            </w:pPr>
          </w:p>
        </w:tc>
      </w:tr>
      <w:tr w:rsidR="00CB1945" w:rsidRPr="009D0367" w14:paraId="2FD6791E" w14:textId="77777777" w:rsidTr="00425363">
        <w:tc>
          <w:tcPr>
            <w:tcW w:w="778" w:type="dxa"/>
          </w:tcPr>
          <w:p w14:paraId="2CC695BF" w14:textId="6523499A" w:rsidR="00CB1945" w:rsidRDefault="008F407B" w:rsidP="00A15443">
            <w:pPr>
              <w:rPr>
                <w:rFonts w:ascii="Calibri" w:hAnsi="Calibri" w:cs="Calibri"/>
                <w:lang w:val="en-US"/>
              </w:rPr>
            </w:pPr>
            <w:r>
              <w:rPr>
                <w:rFonts w:ascii="Calibri" w:hAnsi="Calibri" w:cs="Calibri"/>
                <w:lang w:val="en-US"/>
              </w:rPr>
              <w:t>43a.</w:t>
            </w:r>
          </w:p>
        </w:tc>
        <w:tc>
          <w:tcPr>
            <w:tcW w:w="5210" w:type="dxa"/>
          </w:tcPr>
          <w:p w14:paraId="596B8E76" w14:textId="672B5270" w:rsidR="00CB1945" w:rsidRPr="008A43DA" w:rsidRDefault="008A43DA" w:rsidP="0071674B">
            <w:pPr>
              <w:rPr>
                <w:rFonts w:ascii="Calibri" w:hAnsi="Calibri" w:cs="Calibri"/>
                <w:color w:val="000000"/>
                <w:lang w:val="en-US"/>
              </w:rPr>
            </w:pPr>
            <w:r w:rsidRPr="008A43DA">
              <w:rPr>
                <w:rFonts w:ascii="Calibri" w:hAnsi="Calibri" w:cs="Calibri"/>
                <w:color w:val="000000"/>
                <w:lang w:val="en-US"/>
              </w:rPr>
              <w:t>significant breach by the ICT third-party service provider of applicable laws, regulations or contractual terms;</w:t>
            </w:r>
          </w:p>
        </w:tc>
        <w:tc>
          <w:tcPr>
            <w:tcW w:w="1275" w:type="dxa"/>
          </w:tcPr>
          <w:p w14:paraId="0E45290D" w14:textId="77777777" w:rsidR="00CB1945" w:rsidRPr="00295056" w:rsidRDefault="00CB1945" w:rsidP="00A15443">
            <w:pPr>
              <w:rPr>
                <w:rFonts w:ascii="Calibri" w:hAnsi="Calibri" w:cs="Calibri"/>
                <w:lang w:val="en-US"/>
              </w:rPr>
            </w:pPr>
          </w:p>
        </w:tc>
        <w:tc>
          <w:tcPr>
            <w:tcW w:w="1834" w:type="dxa"/>
          </w:tcPr>
          <w:p w14:paraId="0E448595" w14:textId="77777777" w:rsidR="00CB1945" w:rsidRPr="00295056" w:rsidRDefault="00CB1945" w:rsidP="00A15443">
            <w:pPr>
              <w:rPr>
                <w:rFonts w:ascii="Calibri" w:hAnsi="Calibri" w:cs="Calibri"/>
                <w:lang w:val="en-US"/>
              </w:rPr>
            </w:pPr>
          </w:p>
        </w:tc>
        <w:tc>
          <w:tcPr>
            <w:tcW w:w="4242" w:type="dxa"/>
          </w:tcPr>
          <w:p w14:paraId="75C55EE5" w14:textId="77777777" w:rsidR="00CB1945" w:rsidRPr="00295056" w:rsidRDefault="00CB1945" w:rsidP="00A15443">
            <w:pPr>
              <w:rPr>
                <w:rFonts w:ascii="Calibri" w:hAnsi="Calibri" w:cs="Calibri"/>
                <w:lang w:val="en-US"/>
              </w:rPr>
            </w:pPr>
          </w:p>
        </w:tc>
      </w:tr>
      <w:tr w:rsidR="00CB1945" w:rsidRPr="009D0367" w14:paraId="4E04F35B" w14:textId="77777777" w:rsidTr="00425363">
        <w:tc>
          <w:tcPr>
            <w:tcW w:w="778" w:type="dxa"/>
          </w:tcPr>
          <w:p w14:paraId="3BE98A7A" w14:textId="1EEF2F7E" w:rsidR="00CB1945" w:rsidRDefault="008A43DA" w:rsidP="00A15443">
            <w:pPr>
              <w:rPr>
                <w:rFonts w:ascii="Calibri" w:hAnsi="Calibri" w:cs="Calibri"/>
                <w:lang w:val="en-US"/>
              </w:rPr>
            </w:pPr>
            <w:r>
              <w:rPr>
                <w:rFonts w:ascii="Calibri" w:hAnsi="Calibri" w:cs="Calibri"/>
                <w:lang w:val="en-US"/>
              </w:rPr>
              <w:t>43b.</w:t>
            </w:r>
          </w:p>
        </w:tc>
        <w:tc>
          <w:tcPr>
            <w:tcW w:w="5210" w:type="dxa"/>
          </w:tcPr>
          <w:p w14:paraId="09722D3C" w14:textId="55D59C07" w:rsidR="00CB1945" w:rsidRDefault="00AA56FA" w:rsidP="0071674B">
            <w:pPr>
              <w:rPr>
                <w:rFonts w:ascii="Calibri" w:hAnsi="Calibri" w:cs="Calibri"/>
                <w:color w:val="000000"/>
                <w:lang w:val="en-US"/>
              </w:rPr>
            </w:pPr>
            <w:r w:rsidRPr="00AA56FA">
              <w:rPr>
                <w:rFonts w:ascii="Calibri" w:hAnsi="Calibri" w:cs="Calibri"/>
                <w:color w:val="000000"/>
                <w:lang w:val="en-US"/>
              </w:rPr>
              <w:t>circumstances identified throughout the monitoring of ICT third-party risk that are deemed capable of altering the performance of the functions provided through the contractual arrangement, including material changes that affect the arrangement or the situation of the ICT third-party service provider;</w:t>
            </w:r>
          </w:p>
        </w:tc>
        <w:tc>
          <w:tcPr>
            <w:tcW w:w="1275" w:type="dxa"/>
          </w:tcPr>
          <w:p w14:paraId="7C3E1D9A" w14:textId="77777777" w:rsidR="00CB1945" w:rsidRPr="00295056" w:rsidRDefault="00CB1945" w:rsidP="00A15443">
            <w:pPr>
              <w:rPr>
                <w:rFonts w:ascii="Calibri" w:hAnsi="Calibri" w:cs="Calibri"/>
                <w:lang w:val="en-US"/>
              </w:rPr>
            </w:pPr>
          </w:p>
        </w:tc>
        <w:tc>
          <w:tcPr>
            <w:tcW w:w="1834" w:type="dxa"/>
          </w:tcPr>
          <w:p w14:paraId="76028FBC" w14:textId="77777777" w:rsidR="00CB1945" w:rsidRPr="00295056" w:rsidRDefault="00CB1945" w:rsidP="00A15443">
            <w:pPr>
              <w:rPr>
                <w:rFonts w:ascii="Calibri" w:hAnsi="Calibri" w:cs="Calibri"/>
                <w:lang w:val="en-US"/>
              </w:rPr>
            </w:pPr>
          </w:p>
        </w:tc>
        <w:tc>
          <w:tcPr>
            <w:tcW w:w="4242" w:type="dxa"/>
          </w:tcPr>
          <w:p w14:paraId="5B5103A0" w14:textId="77777777" w:rsidR="00CB1945" w:rsidRPr="00295056" w:rsidRDefault="00CB1945" w:rsidP="00A15443">
            <w:pPr>
              <w:rPr>
                <w:rFonts w:ascii="Calibri" w:hAnsi="Calibri" w:cs="Calibri"/>
                <w:lang w:val="en-US"/>
              </w:rPr>
            </w:pPr>
          </w:p>
        </w:tc>
      </w:tr>
      <w:tr w:rsidR="00CB1945" w:rsidRPr="009D0367" w14:paraId="3F9F4196" w14:textId="77777777" w:rsidTr="00425363">
        <w:tc>
          <w:tcPr>
            <w:tcW w:w="778" w:type="dxa"/>
          </w:tcPr>
          <w:p w14:paraId="089DBBAB" w14:textId="1F926FEE" w:rsidR="00CB1945" w:rsidRDefault="00AA56FA" w:rsidP="00A15443">
            <w:pPr>
              <w:rPr>
                <w:rFonts w:ascii="Calibri" w:hAnsi="Calibri" w:cs="Calibri"/>
                <w:lang w:val="en-US"/>
              </w:rPr>
            </w:pPr>
            <w:r>
              <w:rPr>
                <w:rFonts w:ascii="Calibri" w:hAnsi="Calibri" w:cs="Calibri"/>
                <w:lang w:val="en-US"/>
              </w:rPr>
              <w:t>43c.</w:t>
            </w:r>
          </w:p>
        </w:tc>
        <w:tc>
          <w:tcPr>
            <w:tcW w:w="5210" w:type="dxa"/>
          </w:tcPr>
          <w:p w14:paraId="2635540F" w14:textId="2A621F77" w:rsidR="00CB1945" w:rsidRDefault="00AA56FA" w:rsidP="0071674B">
            <w:pPr>
              <w:rPr>
                <w:rFonts w:ascii="Calibri" w:hAnsi="Calibri" w:cs="Calibri"/>
                <w:color w:val="000000"/>
                <w:lang w:val="en-US"/>
              </w:rPr>
            </w:pPr>
            <w:r w:rsidRPr="00AA56FA">
              <w:rPr>
                <w:rFonts w:ascii="Calibri" w:hAnsi="Calibri" w:cs="Calibri"/>
                <w:color w:val="000000"/>
                <w:lang w:val="en-US"/>
              </w:rPr>
              <w:t>ICT third-party service provider’s evidenced weaknesses pertaining to its overall ICT risk management and in particular in the way it ensures the availability, authenticity, integrity and, confidentiality, of data, whether personal or otherwise sensitive data, or non-personal data;</w:t>
            </w:r>
          </w:p>
        </w:tc>
        <w:tc>
          <w:tcPr>
            <w:tcW w:w="1275" w:type="dxa"/>
          </w:tcPr>
          <w:p w14:paraId="66E67B1E" w14:textId="77777777" w:rsidR="00CB1945" w:rsidRPr="00295056" w:rsidRDefault="00CB1945" w:rsidP="00A15443">
            <w:pPr>
              <w:rPr>
                <w:rFonts w:ascii="Calibri" w:hAnsi="Calibri" w:cs="Calibri"/>
                <w:lang w:val="en-US"/>
              </w:rPr>
            </w:pPr>
          </w:p>
        </w:tc>
        <w:tc>
          <w:tcPr>
            <w:tcW w:w="1834" w:type="dxa"/>
          </w:tcPr>
          <w:p w14:paraId="330E2C87" w14:textId="77777777" w:rsidR="00CB1945" w:rsidRPr="00295056" w:rsidRDefault="00CB1945" w:rsidP="00A15443">
            <w:pPr>
              <w:rPr>
                <w:rFonts w:ascii="Calibri" w:hAnsi="Calibri" w:cs="Calibri"/>
                <w:lang w:val="en-US"/>
              </w:rPr>
            </w:pPr>
          </w:p>
        </w:tc>
        <w:tc>
          <w:tcPr>
            <w:tcW w:w="4242" w:type="dxa"/>
          </w:tcPr>
          <w:p w14:paraId="41CF0FD5" w14:textId="77777777" w:rsidR="00CB1945" w:rsidRPr="00295056" w:rsidRDefault="00CB1945" w:rsidP="00A15443">
            <w:pPr>
              <w:rPr>
                <w:rFonts w:ascii="Calibri" w:hAnsi="Calibri" w:cs="Calibri"/>
                <w:lang w:val="en-US"/>
              </w:rPr>
            </w:pPr>
          </w:p>
        </w:tc>
      </w:tr>
      <w:tr w:rsidR="00AA56FA" w:rsidRPr="009D0367" w14:paraId="5DDCD794" w14:textId="77777777" w:rsidTr="00425363">
        <w:tc>
          <w:tcPr>
            <w:tcW w:w="778" w:type="dxa"/>
          </w:tcPr>
          <w:p w14:paraId="6AA240A3" w14:textId="10869998" w:rsidR="00AA56FA" w:rsidRDefault="00AA56FA" w:rsidP="00A15443">
            <w:pPr>
              <w:rPr>
                <w:rFonts w:ascii="Calibri" w:hAnsi="Calibri" w:cs="Calibri"/>
                <w:lang w:val="en-US"/>
              </w:rPr>
            </w:pPr>
            <w:r>
              <w:rPr>
                <w:rFonts w:ascii="Calibri" w:hAnsi="Calibri" w:cs="Calibri"/>
                <w:lang w:val="en-US"/>
              </w:rPr>
              <w:t>43d.</w:t>
            </w:r>
          </w:p>
        </w:tc>
        <w:tc>
          <w:tcPr>
            <w:tcW w:w="5210" w:type="dxa"/>
          </w:tcPr>
          <w:p w14:paraId="6D96A70C" w14:textId="1A91E6F3" w:rsidR="00AA56FA" w:rsidRDefault="00F60E74" w:rsidP="0071674B">
            <w:pPr>
              <w:rPr>
                <w:rFonts w:ascii="Calibri" w:hAnsi="Calibri" w:cs="Calibri"/>
                <w:color w:val="000000"/>
                <w:lang w:val="en-US"/>
              </w:rPr>
            </w:pPr>
            <w:r w:rsidRPr="00F60E74">
              <w:rPr>
                <w:rFonts w:ascii="Calibri" w:hAnsi="Calibri" w:cs="Calibri"/>
                <w:color w:val="000000"/>
                <w:lang w:val="en-US"/>
              </w:rPr>
              <w:t>where the competent authority can no longer effectively supervise the financial entity as a result of the conditions of, or circumstances related to, the respective contractual arrangement.</w:t>
            </w:r>
          </w:p>
        </w:tc>
        <w:tc>
          <w:tcPr>
            <w:tcW w:w="1275" w:type="dxa"/>
          </w:tcPr>
          <w:p w14:paraId="47935E89" w14:textId="77777777" w:rsidR="00AA56FA" w:rsidRPr="00295056" w:rsidRDefault="00AA56FA" w:rsidP="00A15443">
            <w:pPr>
              <w:rPr>
                <w:rFonts w:ascii="Calibri" w:hAnsi="Calibri" w:cs="Calibri"/>
                <w:lang w:val="en-US"/>
              </w:rPr>
            </w:pPr>
          </w:p>
        </w:tc>
        <w:tc>
          <w:tcPr>
            <w:tcW w:w="1834" w:type="dxa"/>
          </w:tcPr>
          <w:p w14:paraId="7B9E8C40" w14:textId="77777777" w:rsidR="00AA56FA" w:rsidRPr="00295056" w:rsidRDefault="00AA56FA" w:rsidP="00A15443">
            <w:pPr>
              <w:rPr>
                <w:rFonts w:ascii="Calibri" w:hAnsi="Calibri" w:cs="Calibri"/>
                <w:lang w:val="en-US"/>
              </w:rPr>
            </w:pPr>
          </w:p>
        </w:tc>
        <w:tc>
          <w:tcPr>
            <w:tcW w:w="4242" w:type="dxa"/>
          </w:tcPr>
          <w:p w14:paraId="0C777554" w14:textId="77777777" w:rsidR="00AA56FA" w:rsidRPr="00295056" w:rsidRDefault="00AA56FA" w:rsidP="00A15443">
            <w:pPr>
              <w:rPr>
                <w:rFonts w:ascii="Calibri" w:hAnsi="Calibri" w:cs="Calibri"/>
                <w:lang w:val="en-US"/>
              </w:rPr>
            </w:pPr>
          </w:p>
        </w:tc>
      </w:tr>
      <w:tr w:rsidR="00D02951" w:rsidRPr="009D0367" w14:paraId="41806D01" w14:textId="77777777" w:rsidTr="00D02951">
        <w:tc>
          <w:tcPr>
            <w:tcW w:w="13339" w:type="dxa"/>
            <w:gridSpan w:val="5"/>
            <w:shd w:val="clear" w:color="auto" w:fill="7030A0"/>
          </w:tcPr>
          <w:p w14:paraId="65387229" w14:textId="06296A7B" w:rsidR="00D02951" w:rsidRPr="00295056" w:rsidRDefault="00D02951" w:rsidP="00ED0DAA">
            <w:pPr>
              <w:rPr>
                <w:rFonts w:ascii="Calibri" w:hAnsi="Calibri" w:cs="Calibri"/>
                <w:lang w:val="en-US"/>
              </w:rPr>
            </w:pPr>
            <w:r>
              <w:rPr>
                <w:rFonts w:ascii="Calibri" w:hAnsi="Calibri" w:cs="Calibri"/>
                <w:b/>
                <w:bCs/>
                <w:color w:val="FFFFFF" w:themeColor="background1"/>
                <w:sz w:val="24"/>
                <w:szCs w:val="24"/>
                <w:lang w:val="en-US"/>
              </w:rPr>
              <w:t>DORA – General requirements f</w:t>
            </w:r>
            <w:r w:rsidRPr="003911F2">
              <w:rPr>
                <w:rFonts w:ascii="Calibri" w:hAnsi="Calibri" w:cs="Calibri"/>
                <w:b/>
                <w:bCs/>
                <w:color w:val="FFFFFF" w:themeColor="background1"/>
                <w:sz w:val="24"/>
                <w:szCs w:val="24"/>
                <w:lang w:val="en-US"/>
              </w:rPr>
              <w:t xml:space="preserve">or </w:t>
            </w:r>
            <w:r>
              <w:rPr>
                <w:rFonts w:ascii="Calibri" w:hAnsi="Calibri" w:cs="Calibri"/>
                <w:b/>
                <w:bCs/>
                <w:color w:val="FFFFFF" w:themeColor="background1"/>
                <w:sz w:val="24"/>
                <w:szCs w:val="24"/>
                <w:lang w:val="en-US"/>
              </w:rPr>
              <w:t xml:space="preserve">ICT </w:t>
            </w:r>
            <w:r w:rsidR="001C3889">
              <w:rPr>
                <w:rFonts w:ascii="Calibri" w:hAnsi="Calibri" w:cs="Calibri"/>
                <w:b/>
                <w:bCs/>
                <w:color w:val="FFFFFF" w:themeColor="background1"/>
                <w:sz w:val="24"/>
                <w:szCs w:val="24"/>
                <w:lang w:val="en-US"/>
              </w:rPr>
              <w:t>services</w:t>
            </w:r>
            <w:r w:rsidR="00241196">
              <w:rPr>
                <w:rFonts w:ascii="Calibri" w:hAnsi="Calibri" w:cs="Calibri"/>
                <w:b/>
                <w:bCs/>
                <w:color w:val="FFFFFF" w:themeColor="background1"/>
                <w:sz w:val="24"/>
                <w:szCs w:val="24"/>
                <w:lang w:val="en-US"/>
              </w:rPr>
              <w:t xml:space="preserve"> supporting critical or important functions</w:t>
            </w:r>
          </w:p>
        </w:tc>
      </w:tr>
      <w:tr w:rsidR="00B65DD9" w:rsidRPr="009D0367" w14:paraId="36FA97F4" w14:textId="77777777" w:rsidTr="00D50C08">
        <w:tc>
          <w:tcPr>
            <w:tcW w:w="13339" w:type="dxa"/>
            <w:gridSpan w:val="5"/>
          </w:tcPr>
          <w:p w14:paraId="17BA13CF" w14:textId="77777777" w:rsidR="00B23E09" w:rsidRDefault="00B65DD9" w:rsidP="00A15443">
            <w:pPr>
              <w:rPr>
                <w:rFonts w:ascii="Calibri" w:hAnsi="Calibri" w:cs="Calibri"/>
                <w:lang w:val="en-US"/>
              </w:rPr>
            </w:pPr>
            <w:r>
              <w:rPr>
                <w:rFonts w:ascii="Calibri" w:hAnsi="Calibri" w:cs="Calibri"/>
                <w:b/>
                <w:bCs/>
                <w:lang w:val="en-US"/>
              </w:rPr>
              <w:t xml:space="preserve">NOTE: </w:t>
            </w:r>
            <w:r>
              <w:rPr>
                <w:rFonts w:ascii="Calibri" w:hAnsi="Calibri" w:cs="Calibri"/>
                <w:lang w:val="en-US"/>
              </w:rPr>
              <w:t>a ‘</w:t>
            </w:r>
            <w:r w:rsidRPr="00A954F2">
              <w:rPr>
                <w:rFonts w:ascii="Calibri" w:hAnsi="Calibri" w:cs="Calibri"/>
                <w:b/>
                <w:bCs/>
                <w:lang w:val="en-US"/>
              </w:rPr>
              <w:t>critical or important function</w:t>
            </w:r>
            <w:r>
              <w:rPr>
                <w:rFonts w:ascii="Calibri" w:hAnsi="Calibri" w:cs="Calibri"/>
                <w:lang w:val="en-US"/>
              </w:rPr>
              <w:t xml:space="preserve">’ has been defined in Article 3(22) DORA as: </w:t>
            </w:r>
          </w:p>
          <w:p w14:paraId="7651B0DA" w14:textId="59040A47" w:rsidR="00062F1E" w:rsidRPr="007D0A95" w:rsidRDefault="00B65DD9" w:rsidP="00A81DA0">
            <w:pPr>
              <w:ind w:left="589"/>
              <w:rPr>
                <w:rFonts w:ascii="Calibri" w:hAnsi="Calibri" w:cs="Calibri"/>
                <w:lang w:val="en-US"/>
              </w:rPr>
            </w:pPr>
            <w:r>
              <w:rPr>
                <w:rFonts w:ascii="Calibri" w:hAnsi="Calibri" w:cs="Calibri"/>
                <w:i/>
                <w:iCs/>
                <w:lang w:val="en-US"/>
              </w:rPr>
              <w:t>“</w:t>
            </w:r>
            <w:r w:rsidR="00B23E09" w:rsidRPr="00B23E09">
              <w:rPr>
                <w:rFonts w:ascii="Calibri" w:hAnsi="Calibri" w:cs="Calibri"/>
                <w:i/>
                <w:iCs/>
                <w:lang w:val="en-US"/>
              </w:rPr>
              <w:t>a function, the disruption of which would materially impair the financial performance of a financial entity, or the soundness or continuity of its services and activities, or the discontinued, defective or failed performance of that function would materially impair the continuing compliance of a financial entity with the conditions and obligations of its authorisation, or with its other obligations under applicable financial services law</w:t>
            </w:r>
            <w:r w:rsidR="00B23E09">
              <w:rPr>
                <w:rFonts w:ascii="Calibri" w:hAnsi="Calibri" w:cs="Calibri"/>
                <w:i/>
                <w:iCs/>
                <w:lang w:val="en-US"/>
              </w:rPr>
              <w:t>”.</w:t>
            </w:r>
          </w:p>
        </w:tc>
      </w:tr>
      <w:tr w:rsidR="00D02951" w:rsidRPr="009D0367" w14:paraId="04E5F208" w14:textId="77777777" w:rsidTr="00425363">
        <w:tc>
          <w:tcPr>
            <w:tcW w:w="778" w:type="dxa"/>
          </w:tcPr>
          <w:p w14:paraId="77B482E4" w14:textId="57EBA764" w:rsidR="00D02951" w:rsidRDefault="00062F1E" w:rsidP="00A15443">
            <w:pPr>
              <w:rPr>
                <w:rFonts w:ascii="Calibri" w:hAnsi="Calibri" w:cs="Calibri"/>
                <w:lang w:val="en-US"/>
              </w:rPr>
            </w:pPr>
            <w:r>
              <w:rPr>
                <w:rFonts w:ascii="Calibri" w:hAnsi="Calibri" w:cs="Calibri"/>
                <w:lang w:val="en-US"/>
              </w:rPr>
              <w:t>4</w:t>
            </w:r>
            <w:r w:rsidR="00D7410B">
              <w:rPr>
                <w:rFonts w:ascii="Calibri" w:hAnsi="Calibri" w:cs="Calibri"/>
                <w:lang w:val="en-US"/>
              </w:rPr>
              <w:t>4</w:t>
            </w:r>
            <w:r>
              <w:rPr>
                <w:rFonts w:ascii="Calibri" w:hAnsi="Calibri" w:cs="Calibri"/>
                <w:lang w:val="en-US"/>
              </w:rPr>
              <w:t>.</w:t>
            </w:r>
          </w:p>
        </w:tc>
        <w:tc>
          <w:tcPr>
            <w:tcW w:w="5210" w:type="dxa"/>
          </w:tcPr>
          <w:p w14:paraId="630E6601" w14:textId="6CCBCFFA" w:rsidR="00D02951" w:rsidRDefault="00F61CBB" w:rsidP="0071674B">
            <w:pPr>
              <w:rPr>
                <w:rFonts w:ascii="Calibri" w:hAnsi="Calibri" w:cs="Calibri"/>
                <w:color w:val="000000"/>
                <w:lang w:val="en-US"/>
              </w:rPr>
            </w:pPr>
            <w:r w:rsidRPr="00F61CBB">
              <w:rPr>
                <w:rFonts w:ascii="Calibri" w:hAnsi="Calibri" w:cs="Calibri"/>
                <w:color w:val="000000"/>
                <w:lang w:val="en-US"/>
              </w:rPr>
              <w:t xml:space="preserve">full service level descriptions, including updates and revisions thereof with precise quantitative and qualitative performance targets within the agreed </w:t>
            </w:r>
            <w:r w:rsidRPr="00F61CBB">
              <w:rPr>
                <w:rFonts w:ascii="Calibri" w:hAnsi="Calibri" w:cs="Calibri"/>
                <w:color w:val="000000"/>
                <w:lang w:val="en-US"/>
              </w:rPr>
              <w:lastRenderedPageBreak/>
              <w:t>service levels to allow effective monitoring by the financial entity of ICT services and enable appropriate corrective actions to be taken, without undue delay, when agreed service levels are not met</w:t>
            </w:r>
            <w:r w:rsidR="00222433">
              <w:rPr>
                <w:rFonts w:ascii="Calibri" w:hAnsi="Calibri" w:cs="Calibri"/>
                <w:color w:val="000000"/>
                <w:lang w:val="en-US"/>
              </w:rPr>
              <w:t>.</w:t>
            </w:r>
          </w:p>
        </w:tc>
        <w:tc>
          <w:tcPr>
            <w:tcW w:w="1275" w:type="dxa"/>
          </w:tcPr>
          <w:p w14:paraId="3A6C13E6" w14:textId="77777777" w:rsidR="00D02951" w:rsidRPr="00295056" w:rsidRDefault="00D02951" w:rsidP="00A15443">
            <w:pPr>
              <w:rPr>
                <w:rFonts w:ascii="Calibri" w:hAnsi="Calibri" w:cs="Calibri"/>
                <w:lang w:val="en-US"/>
              </w:rPr>
            </w:pPr>
          </w:p>
        </w:tc>
        <w:tc>
          <w:tcPr>
            <w:tcW w:w="1834" w:type="dxa"/>
          </w:tcPr>
          <w:p w14:paraId="5F4428BB" w14:textId="77777777" w:rsidR="00D02951" w:rsidRPr="00295056" w:rsidRDefault="00D02951" w:rsidP="00A15443">
            <w:pPr>
              <w:rPr>
                <w:rFonts w:ascii="Calibri" w:hAnsi="Calibri" w:cs="Calibri"/>
                <w:lang w:val="en-US"/>
              </w:rPr>
            </w:pPr>
          </w:p>
        </w:tc>
        <w:tc>
          <w:tcPr>
            <w:tcW w:w="4242" w:type="dxa"/>
          </w:tcPr>
          <w:p w14:paraId="54DB8764" w14:textId="77777777" w:rsidR="00D02951" w:rsidRPr="00295056" w:rsidRDefault="00D02951" w:rsidP="00A15443">
            <w:pPr>
              <w:rPr>
                <w:rFonts w:ascii="Calibri" w:hAnsi="Calibri" w:cs="Calibri"/>
                <w:lang w:val="en-US"/>
              </w:rPr>
            </w:pPr>
          </w:p>
        </w:tc>
      </w:tr>
      <w:tr w:rsidR="00160AF6" w:rsidRPr="009D0367" w14:paraId="1943E4E5" w14:textId="77777777" w:rsidTr="00425363">
        <w:tc>
          <w:tcPr>
            <w:tcW w:w="778" w:type="dxa"/>
          </w:tcPr>
          <w:p w14:paraId="5F8A7F58" w14:textId="2BE3EFCF" w:rsidR="00160AF6" w:rsidRDefault="00160AF6" w:rsidP="00A15443">
            <w:pPr>
              <w:rPr>
                <w:rFonts w:ascii="Calibri" w:hAnsi="Calibri" w:cs="Calibri"/>
                <w:lang w:val="en-US"/>
              </w:rPr>
            </w:pPr>
            <w:r>
              <w:rPr>
                <w:rFonts w:ascii="Calibri" w:hAnsi="Calibri" w:cs="Calibri"/>
                <w:lang w:val="en-US"/>
              </w:rPr>
              <w:t>4</w:t>
            </w:r>
            <w:r w:rsidR="00A954F2">
              <w:rPr>
                <w:rFonts w:ascii="Calibri" w:hAnsi="Calibri" w:cs="Calibri"/>
                <w:lang w:val="en-US"/>
              </w:rPr>
              <w:t>5</w:t>
            </w:r>
            <w:r>
              <w:rPr>
                <w:rFonts w:ascii="Calibri" w:hAnsi="Calibri" w:cs="Calibri"/>
                <w:lang w:val="en-US"/>
              </w:rPr>
              <w:t>.</w:t>
            </w:r>
          </w:p>
        </w:tc>
        <w:tc>
          <w:tcPr>
            <w:tcW w:w="5210" w:type="dxa"/>
          </w:tcPr>
          <w:p w14:paraId="5F44466F" w14:textId="113C55D3" w:rsidR="00160AF6" w:rsidRDefault="00344A8F" w:rsidP="00344A8F">
            <w:pPr>
              <w:rPr>
                <w:rFonts w:ascii="Calibri" w:hAnsi="Calibri" w:cs="Calibri"/>
                <w:color w:val="000000"/>
                <w:lang w:val="en-US"/>
              </w:rPr>
            </w:pPr>
            <w:r>
              <w:rPr>
                <w:rFonts w:ascii="Calibri" w:hAnsi="Calibri" w:cs="Calibri"/>
                <w:color w:val="000000"/>
                <w:lang w:val="en-US"/>
              </w:rPr>
              <w:t>N</w:t>
            </w:r>
            <w:r w:rsidRPr="00344A8F">
              <w:rPr>
                <w:rFonts w:ascii="Calibri" w:hAnsi="Calibri" w:cs="Calibri"/>
                <w:color w:val="000000"/>
                <w:lang w:val="en-US"/>
              </w:rPr>
              <w:t>otice periods and reporting obligations of the ICT third-party service provider to the financial entity, including notification of any development that might have a material impact on the ICT third-party service provider’s ability to effectively provide the ICT services supporting critical or important functions in line with agreed service levels</w:t>
            </w:r>
            <w:r w:rsidR="0083300D">
              <w:rPr>
                <w:rFonts w:ascii="Calibri" w:hAnsi="Calibri" w:cs="Calibri"/>
                <w:color w:val="000000"/>
                <w:lang w:val="en-US"/>
              </w:rPr>
              <w:t>.</w:t>
            </w:r>
          </w:p>
        </w:tc>
        <w:tc>
          <w:tcPr>
            <w:tcW w:w="1275" w:type="dxa"/>
          </w:tcPr>
          <w:p w14:paraId="594EE6A4" w14:textId="77777777" w:rsidR="00160AF6" w:rsidRPr="00295056" w:rsidRDefault="00160AF6" w:rsidP="00A15443">
            <w:pPr>
              <w:rPr>
                <w:rFonts w:ascii="Calibri" w:hAnsi="Calibri" w:cs="Calibri"/>
                <w:lang w:val="en-US"/>
              </w:rPr>
            </w:pPr>
          </w:p>
        </w:tc>
        <w:tc>
          <w:tcPr>
            <w:tcW w:w="1834" w:type="dxa"/>
          </w:tcPr>
          <w:p w14:paraId="42F30502" w14:textId="77777777" w:rsidR="00160AF6" w:rsidRPr="00295056" w:rsidRDefault="00160AF6" w:rsidP="00A15443">
            <w:pPr>
              <w:rPr>
                <w:rFonts w:ascii="Calibri" w:hAnsi="Calibri" w:cs="Calibri"/>
                <w:lang w:val="en-US"/>
              </w:rPr>
            </w:pPr>
          </w:p>
        </w:tc>
        <w:tc>
          <w:tcPr>
            <w:tcW w:w="4242" w:type="dxa"/>
          </w:tcPr>
          <w:p w14:paraId="0013F8FE" w14:textId="77777777" w:rsidR="00160AF6" w:rsidRPr="00295056" w:rsidRDefault="00160AF6" w:rsidP="00A15443">
            <w:pPr>
              <w:rPr>
                <w:rFonts w:ascii="Calibri" w:hAnsi="Calibri" w:cs="Calibri"/>
                <w:lang w:val="en-US"/>
              </w:rPr>
            </w:pPr>
          </w:p>
        </w:tc>
      </w:tr>
      <w:tr w:rsidR="00344A8F" w:rsidRPr="009D0367" w14:paraId="23D0E3F2" w14:textId="77777777" w:rsidTr="00425363">
        <w:tc>
          <w:tcPr>
            <w:tcW w:w="778" w:type="dxa"/>
          </w:tcPr>
          <w:p w14:paraId="58924A0B" w14:textId="08FE1847" w:rsidR="00344A8F" w:rsidRDefault="00344A8F" w:rsidP="00A15443">
            <w:pPr>
              <w:rPr>
                <w:rFonts w:ascii="Calibri" w:hAnsi="Calibri" w:cs="Calibri"/>
                <w:lang w:val="en-US"/>
              </w:rPr>
            </w:pPr>
            <w:r>
              <w:rPr>
                <w:rFonts w:ascii="Calibri" w:hAnsi="Calibri" w:cs="Calibri"/>
                <w:lang w:val="en-US"/>
              </w:rPr>
              <w:t>4</w:t>
            </w:r>
            <w:r w:rsidR="00A954F2">
              <w:rPr>
                <w:rFonts w:ascii="Calibri" w:hAnsi="Calibri" w:cs="Calibri"/>
                <w:lang w:val="en-US"/>
              </w:rPr>
              <w:t>6</w:t>
            </w:r>
            <w:r>
              <w:rPr>
                <w:rFonts w:ascii="Calibri" w:hAnsi="Calibri" w:cs="Calibri"/>
                <w:lang w:val="en-US"/>
              </w:rPr>
              <w:t>.</w:t>
            </w:r>
          </w:p>
        </w:tc>
        <w:tc>
          <w:tcPr>
            <w:tcW w:w="5210" w:type="dxa"/>
          </w:tcPr>
          <w:p w14:paraId="7F2F7743" w14:textId="7D7CF3E5" w:rsidR="00344A8F" w:rsidRDefault="00714DE1" w:rsidP="00714DE1">
            <w:pPr>
              <w:rPr>
                <w:rFonts w:ascii="Calibri" w:hAnsi="Calibri" w:cs="Calibri"/>
                <w:color w:val="000000"/>
                <w:lang w:val="en-US"/>
              </w:rPr>
            </w:pPr>
            <w:r>
              <w:rPr>
                <w:rFonts w:ascii="Calibri" w:hAnsi="Calibri" w:cs="Calibri"/>
                <w:color w:val="000000"/>
                <w:lang w:val="en-US"/>
              </w:rPr>
              <w:t>R</w:t>
            </w:r>
            <w:r w:rsidRPr="00714DE1">
              <w:rPr>
                <w:rFonts w:ascii="Calibri" w:hAnsi="Calibri" w:cs="Calibri"/>
                <w:color w:val="000000"/>
                <w:lang w:val="en-US"/>
              </w:rPr>
              <w:t>equirements for the ICT third-party service provider to implement and test business contingency plans and to have in place ICT security measures, tools and policies that provide an appropriate level of security for the provision of services by the financial entity in line with its regulatory framework</w:t>
            </w:r>
            <w:r w:rsidR="0083300D">
              <w:rPr>
                <w:rFonts w:ascii="Calibri" w:hAnsi="Calibri" w:cs="Calibri"/>
                <w:color w:val="000000"/>
                <w:lang w:val="en-US"/>
              </w:rPr>
              <w:t>.</w:t>
            </w:r>
          </w:p>
        </w:tc>
        <w:tc>
          <w:tcPr>
            <w:tcW w:w="1275" w:type="dxa"/>
          </w:tcPr>
          <w:p w14:paraId="5AFF3B6D" w14:textId="77777777" w:rsidR="00344A8F" w:rsidRPr="00295056" w:rsidRDefault="00344A8F" w:rsidP="00A15443">
            <w:pPr>
              <w:rPr>
                <w:rFonts w:ascii="Calibri" w:hAnsi="Calibri" w:cs="Calibri"/>
                <w:lang w:val="en-US"/>
              </w:rPr>
            </w:pPr>
          </w:p>
        </w:tc>
        <w:tc>
          <w:tcPr>
            <w:tcW w:w="1834" w:type="dxa"/>
          </w:tcPr>
          <w:p w14:paraId="0C97A8A1" w14:textId="77777777" w:rsidR="00344A8F" w:rsidRPr="00295056" w:rsidRDefault="00344A8F" w:rsidP="00A15443">
            <w:pPr>
              <w:rPr>
                <w:rFonts w:ascii="Calibri" w:hAnsi="Calibri" w:cs="Calibri"/>
                <w:lang w:val="en-US"/>
              </w:rPr>
            </w:pPr>
          </w:p>
        </w:tc>
        <w:tc>
          <w:tcPr>
            <w:tcW w:w="4242" w:type="dxa"/>
          </w:tcPr>
          <w:p w14:paraId="312CEEC6" w14:textId="77777777" w:rsidR="00344A8F" w:rsidRPr="00295056" w:rsidRDefault="00344A8F" w:rsidP="00A15443">
            <w:pPr>
              <w:rPr>
                <w:rFonts w:ascii="Calibri" w:hAnsi="Calibri" w:cs="Calibri"/>
                <w:lang w:val="en-US"/>
              </w:rPr>
            </w:pPr>
          </w:p>
        </w:tc>
      </w:tr>
      <w:tr w:rsidR="00714DE1" w:rsidRPr="009D0367" w14:paraId="470D5994" w14:textId="77777777" w:rsidTr="00425363">
        <w:tc>
          <w:tcPr>
            <w:tcW w:w="778" w:type="dxa"/>
          </w:tcPr>
          <w:p w14:paraId="0B48708F" w14:textId="78FF585F" w:rsidR="00714DE1" w:rsidRDefault="00714DE1" w:rsidP="00A15443">
            <w:pPr>
              <w:rPr>
                <w:rFonts w:ascii="Calibri" w:hAnsi="Calibri" w:cs="Calibri"/>
                <w:lang w:val="en-US"/>
              </w:rPr>
            </w:pPr>
            <w:r>
              <w:rPr>
                <w:rFonts w:ascii="Calibri" w:hAnsi="Calibri" w:cs="Calibri"/>
                <w:lang w:val="en-US"/>
              </w:rPr>
              <w:t>4</w:t>
            </w:r>
            <w:r w:rsidR="00A954F2">
              <w:rPr>
                <w:rFonts w:ascii="Calibri" w:hAnsi="Calibri" w:cs="Calibri"/>
                <w:lang w:val="en-US"/>
              </w:rPr>
              <w:t>7</w:t>
            </w:r>
            <w:r>
              <w:rPr>
                <w:rFonts w:ascii="Calibri" w:hAnsi="Calibri" w:cs="Calibri"/>
                <w:lang w:val="en-US"/>
              </w:rPr>
              <w:t>.</w:t>
            </w:r>
          </w:p>
        </w:tc>
        <w:tc>
          <w:tcPr>
            <w:tcW w:w="5210" w:type="dxa"/>
          </w:tcPr>
          <w:p w14:paraId="7512D88A" w14:textId="353CF1B5" w:rsidR="00714DE1" w:rsidRDefault="00714DE1" w:rsidP="00714DE1">
            <w:pPr>
              <w:rPr>
                <w:rFonts w:ascii="Calibri" w:hAnsi="Calibri" w:cs="Calibri"/>
                <w:color w:val="000000"/>
                <w:lang w:val="en-US"/>
              </w:rPr>
            </w:pPr>
            <w:r>
              <w:rPr>
                <w:rFonts w:ascii="Calibri" w:hAnsi="Calibri" w:cs="Calibri"/>
                <w:color w:val="000000"/>
                <w:lang w:val="en-US"/>
              </w:rPr>
              <w:t>T</w:t>
            </w:r>
            <w:r w:rsidRPr="00714DE1">
              <w:rPr>
                <w:rFonts w:ascii="Calibri" w:hAnsi="Calibri" w:cs="Calibri"/>
                <w:color w:val="000000"/>
                <w:lang w:val="en-US"/>
              </w:rPr>
              <w:t xml:space="preserve">he obligation of the ICT third-party service provider to participate and fully cooperate in the financial entity’s </w:t>
            </w:r>
            <w:r w:rsidR="0083300D">
              <w:rPr>
                <w:rFonts w:ascii="Calibri" w:hAnsi="Calibri" w:cs="Calibri"/>
                <w:color w:val="000000"/>
                <w:lang w:val="en-US"/>
              </w:rPr>
              <w:t xml:space="preserve">threat-led penetration testing (TLPT) </w:t>
            </w:r>
            <w:r w:rsidRPr="00714DE1">
              <w:rPr>
                <w:rFonts w:ascii="Calibri" w:hAnsi="Calibri" w:cs="Calibri"/>
                <w:color w:val="000000"/>
                <w:lang w:val="en-US"/>
              </w:rPr>
              <w:t>as referred to in Articles 26 and 27</w:t>
            </w:r>
            <w:r w:rsidR="0083300D">
              <w:rPr>
                <w:rFonts w:ascii="Calibri" w:hAnsi="Calibri" w:cs="Calibri"/>
                <w:color w:val="000000"/>
                <w:lang w:val="en-US"/>
              </w:rPr>
              <w:t xml:space="preserve"> DORA.</w:t>
            </w:r>
          </w:p>
        </w:tc>
        <w:tc>
          <w:tcPr>
            <w:tcW w:w="1275" w:type="dxa"/>
          </w:tcPr>
          <w:p w14:paraId="6F0A27FB" w14:textId="77777777" w:rsidR="00714DE1" w:rsidRPr="00295056" w:rsidRDefault="00714DE1" w:rsidP="00A15443">
            <w:pPr>
              <w:rPr>
                <w:rFonts w:ascii="Calibri" w:hAnsi="Calibri" w:cs="Calibri"/>
                <w:lang w:val="en-US"/>
              </w:rPr>
            </w:pPr>
          </w:p>
        </w:tc>
        <w:tc>
          <w:tcPr>
            <w:tcW w:w="1834" w:type="dxa"/>
          </w:tcPr>
          <w:p w14:paraId="73ACC024" w14:textId="77777777" w:rsidR="00714DE1" w:rsidRPr="00295056" w:rsidRDefault="00714DE1" w:rsidP="00A15443">
            <w:pPr>
              <w:rPr>
                <w:rFonts w:ascii="Calibri" w:hAnsi="Calibri" w:cs="Calibri"/>
                <w:lang w:val="en-US"/>
              </w:rPr>
            </w:pPr>
          </w:p>
        </w:tc>
        <w:tc>
          <w:tcPr>
            <w:tcW w:w="4242" w:type="dxa"/>
          </w:tcPr>
          <w:p w14:paraId="45541DF0" w14:textId="77777777" w:rsidR="00714DE1" w:rsidRPr="00295056" w:rsidRDefault="00714DE1" w:rsidP="00A15443">
            <w:pPr>
              <w:rPr>
                <w:rFonts w:ascii="Calibri" w:hAnsi="Calibri" w:cs="Calibri"/>
                <w:lang w:val="en-US"/>
              </w:rPr>
            </w:pPr>
          </w:p>
        </w:tc>
      </w:tr>
      <w:tr w:rsidR="00C47BCD" w:rsidRPr="009D0367" w14:paraId="7D602964" w14:textId="77777777" w:rsidTr="00C47BCD">
        <w:tc>
          <w:tcPr>
            <w:tcW w:w="13339" w:type="dxa"/>
            <w:gridSpan w:val="5"/>
          </w:tcPr>
          <w:p w14:paraId="00147996" w14:textId="3058CE7D" w:rsidR="00C47BCD" w:rsidRPr="00B21A88" w:rsidRDefault="00C47BCD" w:rsidP="00ED0DAA">
            <w:pPr>
              <w:rPr>
                <w:rFonts w:ascii="Calibri" w:hAnsi="Calibri" w:cs="Calibri"/>
                <w:lang w:val="en-US"/>
              </w:rPr>
            </w:pPr>
            <w:r w:rsidRPr="00B21A88">
              <w:rPr>
                <w:rFonts w:ascii="Calibri" w:hAnsi="Calibri" w:cs="Calibri"/>
                <w:b/>
                <w:bCs/>
                <w:lang w:val="en-US"/>
              </w:rPr>
              <w:t xml:space="preserve">NOTE: </w:t>
            </w:r>
            <w:r w:rsidRPr="00B21A88">
              <w:rPr>
                <w:rFonts w:ascii="Calibri" w:hAnsi="Calibri" w:cs="Calibri"/>
                <w:lang w:val="en-US"/>
              </w:rPr>
              <w:t xml:space="preserve">By way of derogation from point 47 </w:t>
            </w:r>
            <w:r w:rsidR="009D0367">
              <w:rPr>
                <w:rFonts w:ascii="Calibri" w:hAnsi="Calibri" w:cs="Calibri"/>
                <w:lang w:val="en-US"/>
              </w:rPr>
              <w:t>above</w:t>
            </w:r>
            <w:r w:rsidRPr="00B21A88">
              <w:rPr>
                <w:rFonts w:ascii="Calibri" w:hAnsi="Calibri" w:cs="Calibri"/>
                <w:lang w:val="en-US"/>
              </w:rPr>
              <w:t>, the ICT third-party service provider and the financial entity that is a microenterprise may agree that the financial entity’s rights of access, inspection and audit can be delegated to an independent third party, appointed by the ICT third-party service provider, and that the financial entity is able to request information and assurance on the ICT third-party service provider’s performance from the third party at any time.</w:t>
            </w:r>
          </w:p>
          <w:p w14:paraId="0C7B9DC4" w14:textId="0020D7E9" w:rsidR="00074D88" w:rsidRPr="00447DEA" w:rsidRDefault="00074D88" w:rsidP="00447DEA">
            <w:pPr>
              <w:rPr>
                <w:rFonts w:ascii="Calibri" w:hAnsi="Calibri" w:cs="Calibri"/>
                <w:lang w:val="en-US"/>
              </w:rPr>
            </w:pPr>
            <w:r w:rsidRPr="00B21A88">
              <w:rPr>
                <w:rFonts w:ascii="Calibri" w:hAnsi="Calibri" w:cs="Calibri"/>
                <w:lang w:val="en-US"/>
              </w:rPr>
              <w:t>A ‘</w:t>
            </w:r>
            <w:r w:rsidRPr="00A954F2">
              <w:rPr>
                <w:rFonts w:ascii="Calibri" w:hAnsi="Calibri" w:cs="Calibri"/>
                <w:b/>
                <w:bCs/>
                <w:lang w:val="en-US"/>
              </w:rPr>
              <w:t>microenterprise</w:t>
            </w:r>
            <w:r w:rsidRPr="00B21A88">
              <w:rPr>
                <w:rFonts w:ascii="Calibri" w:hAnsi="Calibri" w:cs="Calibri"/>
                <w:lang w:val="en-US"/>
              </w:rPr>
              <w:t>’ has been defined as:</w:t>
            </w:r>
            <w:r>
              <w:rPr>
                <w:rFonts w:ascii="Calibri" w:hAnsi="Calibri" w:cs="Calibri"/>
                <w:i/>
                <w:iCs/>
                <w:lang w:val="en-US"/>
              </w:rPr>
              <w:t xml:space="preserve"> </w:t>
            </w:r>
            <w:r w:rsidR="00447DEA">
              <w:rPr>
                <w:rFonts w:ascii="Calibri" w:hAnsi="Calibri" w:cs="Calibri"/>
                <w:i/>
                <w:iCs/>
                <w:lang w:val="en-US"/>
              </w:rPr>
              <w:t>“</w:t>
            </w:r>
            <w:r w:rsidR="00447DEA" w:rsidRPr="00447DEA">
              <w:rPr>
                <w:rFonts w:ascii="Calibri" w:hAnsi="Calibri" w:cs="Calibri"/>
                <w:i/>
                <w:iCs/>
                <w:lang w:val="en-US"/>
              </w:rPr>
              <w:t xml:space="preserve">a financial entity, other than a trading venue, a central counterparty, a trade repository or a central securities depository, which </w:t>
            </w:r>
            <w:r w:rsidR="00447DEA" w:rsidRPr="00447DEA">
              <w:rPr>
                <w:rFonts w:ascii="Calibri" w:hAnsi="Calibri" w:cs="Calibri"/>
                <w:i/>
                <w:iCs/>
                <w:u w:val="single"/>
                <w:lang w:val="en-US"/>
              </w:rPr>
              <w:t>employs fewer than 10 persons</w:t>
            </w:r>
            <w:r w:rsidR="00447DEA" w:rsidRPr="00447DEA">
              <w:rPr>
                <w:rFonts w:ascii="Calibri" w:hAnsi="Calibri" w:cs="Calibri"/>
                <w:i/>
                <w:iCs/>
                <w:lang w:val="en-US"/>
              </w:rPr>
              <w:t xml:space="preserve"> and has </w:t>
            </w:r>
            <w:r w:rsidR="00447DEA" w:rsidRPr="00447DEA">
              <w:rPr>
                <w:rFonts w:ascii="Calibri" w:hAnsi="Calibri" w:cs="Calibri"/>
                <w:i/>
                <w:iCs/>
                <w:u w:val="single"/>
                <w:lang w:val="en-US"/>
              </w:rPr>
              <w:t>an annual turnover and/or annual balance sheet total that does not exceed EUR 2 million</w:t>
            </w:r>
            <w:r w:rsidR="00447DEA" w:rsidRPr="00447DEA">
              <w:rPr>
                <w:rFonts w:ascii="Calibri" w:hAnsi="Calibri" w:cs="Calibri"/>
                <w:lang w:val="en-US"/>
              </w:rPr>
              <w:t>.</w:t>
            </w:r>
            <w:r w:rsidR="00085DA2">
              <w:rPr>
                <w:rFonts w:ascii="Calibri" w:hAnsi="Calibri" w:cs="Calibri"/>
                <w:lang w:val="en-US"/>
              </w:rPr>
              <w:t>”</w:t>
            </w:r>
          </w:p>
        </w:tc>
      </w:tr>
      <w:tr w:rsidR="0083300D" w:rsidRPr="009D0367" w14:paraId="625200F9" w14:textId="77777777" w:rsidTr="00425363">
        <w:tc>
          <w:tcPr>
            <w:tcW w:w="778" w:type="dxa"/>
          </w:tcPr>
          <w:p w14:paraId="09897175" w14:textId="00F0D937" w:rsidR="0083300D" w:rsidRDefault="0083300D" w:rsidP="00A15443">
            <w:pPr>
              <w:rPr>
                <w:rFonts w:ascii="Calibri" w:hAnsi="Calibri" w:cs="Calibri"/>
                <w:lang w:val="en-US"/>
              </w:rPr>
            </w:pPr>
            <w:r>
              <w:rPr>
                <w:rFonts w:ascii="Calibri" w:hAnsi="Calibri" w:cs="Calibri"/>
                <w:lang w:val="en-US"/>
              </w:rPr>
              <w:t>4</w:t>
            </w:r>
            <w:r w:rsidR="00A954F2">
              <w:rPr>
                <w:rFonts w:ascii="Calibri" w:hAnsi="Calibri" w:cs="Calibri"/>
                <w:lang w:val="en-US"/>
              </w:rPr>
              <w:t>8</w:t>
            </w:r>
            <w:r>
              <w:rPr>
                <w:rFonts w:ascii="Calibri" w:hAnsi="Calibri" w:cs="Calibri"/>
                <w:lang w:val="en-US"/>
              </w:rPr>
              <w:t>.</w:t>
            </w:r>
          </w:p>
        </w:tc>
        <w:tc>
          <w:tcPr>
            <w:tcW w:w="5210" w:type="dxa"/>
          </w:tcPr>
          <w:p w14:paraId="78D2418F" w14:textId="30AEF69E" w:rsidR="0083300D" w:rsidRPr="00370CCE" w:rsidRDefault="00370CCE" w:rsidP="00714DE1">
            <w:pPr>
              <w:rPr>
                <w:rFonts w:ascii="Calibri" w:hAnsi="Calibri" w:cs="Calibri"/>
                <w:color w:val="000000"/>
                <w:lang w:val="en-US"/>
              </w:rPr>
            </w:pPr>
            <w:r>
              <w:rPr>
                <w:rFonts w:ascii="Calibri" w:hAnsi="Calibri" w:cs="Calibri"/>
                <w:color w:val="000000"/>
                <w:lang w:val="en-US"/>
              </w:rPr>
              <w:t>T</w:t>
            </w:r>
            <w:r w:rsidRPr="00370CCE">
              <w:rPr>
                <w:rFonts w:ascii="Calibri" w:hAnsi="Calibri" w:cs="Calibri"/>
                <w:color w:val="000000"/>
                <w:lang w:val="en-US"/>
              </w:rPr>
              <w:t>he right to monitor, on an ongoing basis, the ICT third-party service provider’s performance, which entails the following:</w:t>
            </w:r>
          </w:p>
        </w:tc>
        <w:tc>
          <w:tcPr>
            <w:tcW w:w="1275" w:type="dxa"/>
          </w:tcPr>
          <w:p w14:paraId="352A03A9" w14:textId="77777777" w:rsidR="0083300D" w:rsidRPr="00295056" w:rsidRDefault="0083300D" w:rsidP="00A15443">
            <w:pPr>
              <w:rPr>
                <w:rFonts w:ascii="Calibri" w:hAnsi="Calibri" w:cs="Calibri"/>
                <w:lang w:val="en-US"/>
              </w:rPr>
            </w:pPr>
          </w:p>
        </w:tc>
        <w:tc>
          <w:tcPr>
            <w:tcW w:w="1834" w:type="dxa"/>
          </w:tcPr>
          <w:p w14:paraId="27DB35D9" w14:textId="77777777" w:rsidR="0083300D" w:rsidRPr="00295056" w:rsidRDefault="0083300D" w:rsidP="00A15443">
            <w:pPr>
              <w:rPr>
                <w:rFonts w:ascii="Calibri" w:hAnsi="Calibri" w:cs="Calibri"/>
                <w:lang w:val="en-US"/>
              </w:rPr>
            </w:pPr>
          </w:p>
        </w:tc>
        <w:tc>
          <w:tcPr>
            <w:tcW w:w="4242" w:type="dxa"/>
          </w:tcPr>
          <w:p w14:paraId="1FAD9C4D" w14:textId="77777777" w:rsidR="0083300D" w:rsidRPr="00295056" w:rsidRDefault="0083300D" w:rsidP="00A15443">
            <w:pPr>
              <w:rPr>
                <w:rFonts w:ascii="Calibri" w:hAnsi="Calibri" w:cs="Calibri"/>
                <w:lang w:val="en-US"/>
              </w:rPr>
            </w:pPr>
          </w:p>
        </w:tc>
      </w:tr>
      <w:tr w:rsidR="00370CCE" w:rsidRPr="009D0367" w14:paraId="57D00036" w14:textId="77777777" w:rsidTr="00425363">
        <w:tc>
          <w:tcPr>
            <w:tcW w:w="778" w:type="dxa"/>
          </w:tcPr>
          <w:p w14:paraId="35EC92C7" w14:textId="03DA70A5" w:rsidR="00370CCE" w:rsidRDefault="00370CCE" w:rsidP="00A15443">
            <w:pPr>
              <w:rPr>
                <w:rFonts w:ascii="Calibri" w:hAnsi="Calibri" w:cs="Calibri"/>
                <w:lang w:val="en-US"/>
              </w:rPr>
            </w:pPr>
            <w:r>
              <w:rPr>
                <w:rFonts w:ascii="Calibri" w:hAnsi="Calibri" w:cs="Calibri"/>
                <w:lang w:val="en-US"/>
              </w:rPr>
              <w:lastRenderedPageBreak/>
              <w:t>4</w:t>
            </w:r>
            <w:r w:rsidR="00A954F2">
              <w:rPr>
                <w:rFonts w:ascii="Calibri" w:hAnsi="Calibri" w:cs="Calibri"/>
                <w:lang w:val="en-US"/>
              </w:rPr>
              <w:t>8</w:t>
            </w:r>
            <w:r>
              <w:rPr>
                <w:rFonts w:ascii="Calibri" w:hAnsi="Calibri" w:cs="Calibri"/>
                <w:lang w:val="en-US"/>
              </w:rPr>
              <w:t>a.</w:t>
            </w:r>
          </w:p>
        </w:tc>
        <w:tc>
          <w:tcPr>
            <w:tcW w:w="5210" w:type="dxa"/>
          </w:tcPr>
          <w:p w14:paraId="4FC7BF6C" w14:textId="5C152458" w:rsidR="00370CCE" w:rsidRDefault="00F55529" w:rsidP="00714DE1">
            <w:pPr>
              <w:rPr>
                <w:rFonts w:ascii="Calibri" w:hAnsi="Calibri" w:cs="Calibri"/>
                <w:color w:val="000000"/>
                <w:lang w:val="en-US"/>
              </w:rPr>
            </w:pPr>
            <w:r w:rsidRPr="00F55529">
              <w:rPr>
                <w:rFonts w:ascii="Calibri" w:hAnsi="Calibri" w:cs="Calibri"/>
                <w:color w:val="000000"/>
                <w:lang w:val="en-US"/>
              </w:rPr>
              <w:t>unrestricted rights of access, inspection and audit by the financial entity, or an appointed third party, and by the competent authority, and the right to take copies of relevant documentation on-site if they are critical to the operations of the ICT third-party service provider, the effective exercise of which is not impeded or limited by other contractual arrangements or implementation policies;</w:t>
            </w:r>
          </w:p>
        </w:tc>
        <w:tc>
          <w:tcPr>
            <w:tcW w:w="1275" w:type="dxa"/>
          </w:tcPr>
          <w:p w14:paraId="3D0777FD" w14:textId="77777777" w:rsidR="00370CCE" w:rsidRPr="00295056" w:rsidRDefault="00370CCE" w:rsidP="00A15443">
            <w:pPr>
              <w:rPr>
                <w:rFonts w:ascii="Calibri" w:hAnsi="Calibri" w:cs="Calibri"/>
                <w:lang w:val="en-US"/>
              </w:rPr>
            </w:pPr>
          </w:p>
        </w:tc>
        <w:tc>
          <w:tcPr>
            <w:tcW w:w="1834" w:type="dxa"/>
          </w:tcPr>
          <w:p w14:paraId="6292F202" w14:textId="77777777" w:rsidR="00370CCE" w:rsidRPr="00295056" w:rsidRDefault="00370CCE" w:rsidP="00A15443">
            <w:pPr>
              <w:rPr>
                <w:rFonts w:ascii="Calibri" w:hAnsi="Calibri" w:cs="Calibri"/>
                <w:lang w:val="en-US"/>
              </w:rPr>
            </w:pPr>
          </w:p>
        </w:tc>
        <w:tc>
          <w:tcPr>
            <w:tcW w:w="4242" w:type="dxa"/>
          </w:tcPr>
          <w:p w14:paraId="3A5B3368" w14:textId="77777777" w:rsidR="00370CCE" w:rsidRPr="00295056" w:rsidRDefault="00370CCE" w:rsidP="00A15443">
            <w:pPr>
              <w:rPr>
                <w:rFonts w:ascii="Calibri" w:hAnsi="Calibri" w:cs="Calibri"/>
                <w:lang w:val="en-US"/>
              </w:rPr>
            </w:pPr>
          </w:p>
        </w:tc>
      </w:tr>
      <w:tr w:rsidR="00370CCE" w:rsidRPr="009D0367" w14:paraId="63C3FE04" w14:textId="77777777" w:rsidTr="00425363">
        <w:tc>
          <w:tcPr>
            <w:tcW w:w="778" w:type="dxa"/>
          </w:tcPr>
          <w:p w14:paraId="167E618C" w14:textId="5F92C4F0" w:rsidR="00370CCE" w:rsidRDefault="00F55529" w:rsidP="00A15443">
            <w:pPr>
              <w:rPr>
                <w:rFonts w:ascii="Calibri" w:hAnsi="Calibri" w:cs="Calibri"/>
                <w:lang w:val="en-US"/>
              </w:rPr>
            </w:pPr>
            <w:r>
              <w:rPr>
                <w:rFonts w:ascii="Calibri" w:hAnsi="Calibri" w:cs="Calibri"/>
                <w:lang w:val="en-US"/>
              </w:rPr>
              <w:t>4</w:t>
            </w:r>
            <w:r w:rsidR="00A954F2">
              <w:rPr>
                <w:rFonts w:ascii="Calibri" w:hAnsi="Calibri" w:cs="Calibri"/>
                <w:lang w:val="en-US"/>
              </w:rPr>
              <w:t>8</w:t>
            </w:r>
            <w:r>
              <w:rPr>
                <w:rFonts w:ascii="Calibri" w:hAnsi="Calibri" w:cs="Calibri"/>
                <w:lang w:val="en-US"/>
              </w:rPr>
              <w:t>b.</w:t>
            </w:r>
          </w:p>
        </w:tc>
        <w:tc>
          <w:tcPr>
            <w:tcW w:w="5210" w:type="dxa"/>
          </w:tcPr>
          <w:p w14:paraId="0970EF9C" w14:textId="26CAF48E" w:rsidR="00370CCE" w:rsidRDefault="00BD3148" w:rsidP="00BD3148">
            <w:pPr>
              <w:rPr>
                <w:rFonts w:ascii="Calibri" w:hAnsi="Calibri" w:cs="Calibri"/>
                <w:color w:val="000000"/>
                <w:lang w:val="en-US"/>
              </w:rPr>
            </w:pPr>
            <w:r w:rsidRPr="00BD3148">
              <w:rPr>
                <w:rFonts w:ascii="Calibri" w:hAnsi="Calibri" w:cs="Calibri"/>
                <w:color w:val="000000"/>
                <w:lang w:val="en-US"/>
              </w:rPr>
              <w:t>the right to agree on alternative assurance levels if other clients’ rights are affected;</w:t>
            </w:r>
          </w:p>
        </w:tc>
        <w:tc>
          <w:tcPr>
            <w:tcW w:w="1275" w:type="dxa"/>
          </w:tcPr>
          <w:p w14:paraId="4CA4EC8B" w14:textId="77777777" w:rsidR="00370CCE" w:rsidRPr="00295056" w:rsidRDefault="00370CCE" w:rsidP="00A15443">
            <w:pPr>
              <w:rPr>
                <w:rFonts w:ascii="Calibri" w:hAnsi="Calibri" w:cs="Calibri"/>
                <w:lang w:val="en-US"/>
              </w:rPr>
            </w:pPr>
          </w:p>
        </w:tc>
        <w:tc>
          <w:tcPr>
            <w:tcW w:w="1834" w:type="dxa"/>
          </w:tcPr>
          <w:p w14:paraId="6E13652A" w14:textId="77777777" w:rsidR="00370CCE" w:rsidRPr="00295056" w:rsidRDefault="00370CCE" w:rsidP="00A15443">
            <w:pPr>
              <w:rPr>
                <w:rFonts w:ascii="Calibri" w:hAnsi="Calibri" w:cs="Calibri"/>
                <w:lang w:val="en-US"/>
              </w:rPr>
            </w:pPr>
          </w:p>
        </w:tc>
        <w:tc>
          <w:tcPr>
            <w:tcW w:w="4242" w:type="dxa"/>
          </w:tcPr>
          <w:p w14:paraId="791CDFD6" w14:textId="77777777" w:rsidR="00370CCE" w:rsidRPr="00295056" w:rsidRDefault="00370CCE" w:rsidP="00A15443">
            <w:pPr>
              <w:rPr>
                <w:rFonts w:ascii="Calibri" w:hAnsi="Calibri" w:cs="Calibri"/>
                <w:lang w:val="en-US"/>
              </w:rPr>
            </w:pPr>
          </w:p>
        </w:tc>
      </w:tr>
      <w:tr w:rsidR="00370CCE" w:rsidRPr="009D0367" w14:paraId="24C0032D" w14:textId="77777777" w:rsidTr="00425363">
        <w:tc>
          <w:tcPr>
            <w:tcW w:w="778" w:type="dxa"/>
          </w:tcPr>
          <w:p w14:paraId="0C96B16A" w14:textId="5B63B35A" w:rsidR="00370CCE" w:rsidRDefault="00BD3148" w:rsidP="00A15443">
            <w:pPr>
              <w:rPr>
                <w:rFonts w:ascii="Calibri" w:hAnsi="Calibri" w:cs="Calibri"/>
                <w:lang w:val="en-US"/>
              </w:rPr>
            </w:pPr>
            <w:r>
              <w:rPr>
                <w:rFonts w:ascii="Calibri" w:hAnsi="Calibri" w:cs="Calibri"/>
                <w:lang w:val="en-US"/>
              </w:rPr>
              <w:t>4</w:t>
            </w:r>
            <w:r w:rsidR="00A954F2">
              <w:rPr>
                <w:rFonts w:ascii="Calibri" w:hAnsi="Calibri" w:cs="Calibri"/>
                <w:lang w:val="en-US"/>
              </w:rPr>
              <w:t>8</w:t>
            </w:r>
            <w:r>
              <w:rPr>
                <w:rFonts w:ascii="Calibri" w:hAnsi="Calibri" w:cs="Calibri"/>
                <w:lang w:val="en-US"/>
              </w:rPr>
              <w:t>c.</w:t>
            </w:r>
          </w:p>
        </w:tc>
        <w:tc>
          <w:tcPr>
            <w:tcW w:w="5210" w:type="dxa"/>
          </w:tcPr>
          <w:p w14:paraId="0C20F126" w14:textId="6FF9204B" w:rsidR="00370CCE" w:rsidRDefault="00BD3148" w:rsidP="00BD3148">
            <w:pPr>
              <w:rPr>
                <w:rFonts w:ascii="Calibri" w:hAnsi="Calibri" w:cs="Calibri"/>
                <w:color w:val="000000"/>
                <w:lang w:val="en-US"/>
              </w:rPr>
            </w:pPr>
            <w:r w:rsidRPr="00BD3148">
              <w:rPr>
                <w:rFonts w:ascii="Calibri" w:hAnsi="Calibri" w:cs="Calibri"/>
                <w:color w:val="000000"/>
                <w:lang w:val="en-US"/>
              </w:rPr>
              <w:t>the obligation of the ICT third-party service provider to fully cooperate during the onsite inspections and audits performed by the competent authorities, the Lead Overseer, financial entity or an appointed third party; and</w:t>
            </w:r>
          </w:p>
        </w:tc>
        <w:tc>
          <w:tcPr>
            <w:tcW w:w="1275" w:type="dxa"/>
          </w:tcPr>
          <w:p w14:paraId="66CFF6C6" w14:textId="77777777" w:rsidR="00370CCE" w:rsidRPr="00295056" w:rsidRDefault="00370CCE" w:rsidP="00A15443">
            <w:pPr>
              <w:rPr>
                <w:rFonts w:ascii="Calibri" w:hAnsi="Calibri" w:cs="Calibri"/>
                <w:lang w:val="en-US"/>
              </w:rPr>
            </w:pPr>
          </w:p>
        </w:tc>
        <w:tc>
          <w:tcPr>
            <w:tcW w:w="1834" w:type="dxa"/>
          </w:tcPr>
          <w:p w14:paraId="533AFE11" w14:textId="77777777" w:rsidR="00370CCE" w:rsidRPr="00295056" w:rsidRDefault="00370CCE" w:rsidP="00A15443">
            <w:pPr>
              <w:rPr>
                <w:rFonts w:ascii="Calibri" w:hAnsi="Calibri" w:cs="Calibri"/>
                <w:lang w:val="en-US"/>
              </w:rPr>
            </w:pPr>
          </w:p>
        </w:tc>
        <w:tc>
          <w:tcPr>
            <w:tcW w:w="4242" w:type="dxa"/>
          </w:tcPr>
          <w:p w14:paraId="1931C0D9" w14:textId="77777777" w:rsidR="00370CCE" w:rsidRPr="00295056" w:rsidRDefault="00370CCE" w:rsidP="00A15443">
            <w:pPr>
              <w:rPr>
                <w:rFonts w:ascii="Calibri" w:hAnsi="Calibri" w:cs="Calibri"/>
                <w:lang w:val="en-US"/>
              </w:rPr>
            </w:pPr>
          </w:p>
        </w:tc>
      </w:tr>
      <w:tr w:rsidR="00370CCE" w:rsidRPr="009D0367" w14:paraId="6BDC7876" w14:textId="77777777" w:rsidTr="00425363">
        <w:tc>
          <w:tcPr>
            <w:tcW w:w="778" w:type="dxa"/>
          </w:tcPr>
          <w:p w14:paraId="6EB6EEC2" w14:textId="4857C640" w:rsidR="00370CCE" w:rsidRDefault="00BD3148" w:rsidP="00A15443">
            <w:pPr>
              <w:rPr>
                <w:rFonts w:ascii="Calibri" w:hAnsi="Calibri" w:cs="Calibri"/>
                <w:lang w:val="en-US"/>
              </w:rPr>
            </w:pPr>
            <w:r>
              <w:rPr>
                <w:rFonts w:ascii="Calibri" w:hAnsi="Calibri" w:cs="Calibri"/>
                <w:lang w:val="en-US"/>
              </w:rPr>
              <w:t>4</w:t>
            </w:r>
            <w:r w:rsidR="00A954F2">
              <w:rPr>
                <w:rFonts w:ascii="Calibri" w:hAnsi="Calibri" w:cs="Calibri"/>
                <w:lang w:val="en-US"/>
              </w:rPr>
              <w:t>8</w:t>
            </w:r>
            <w:r>
              <w:rPr>
                <w:rFonts w:ascii="Calibri" w:hAnsi="Calibri" w:cs="Calibri"/>
                <w:lang w:val="en-US"/>
              </w:rPr>
              <w:t>d.</w:t>
            </w:r>
          </w:p>
        </w:tc>
        <w:tc>
          <w:tcPr>
            <w:tcW w:w="5210" w:type="dxa"/>
          </w:tcPr>
          <w:p w14:paraId="7AF28D79" w14:textId="544D82E9" w:rsidR="00370CCE" w:rsidRDefault="00CE67C8" w:rsidP="00CE67C8">
            <w:pPr>
              <w:rPr>
                <w:rFonts w:ascii="Calibri" w:hAnsi="Calibri" w:cs="Calibri"/>
                <w:color w:val="000000"/>
                <w:lang w:val="en-US"/>
              </w:rPr>
            </w:pPr>
            <w:r w:rsidRPr="00CE67C8">
              <w:rPr>
                <w:rFonts w:ascii="Calibri" w:hAnsi="Calibri" w:cs="Calibri"/>
                <w:color w:val="000000"/>
                <w:lang w:val="en-US"/>
              </w:rPr>
              <w:t>the obligation to provide details on the scope, procedures to be followed and frequency of such inspections and audits;</w:t>
            </w:r>
          </w:p>
        </w:tc>
        <w:tc>
          <w:tcPr>
            <w:tcW w:w="1275" w:type="dxa"/>
          </w:tcPr>
          <w:p w14:paraId="462A44AE" w14:textId="77777777" w:rsidR="00370CCE" w:rsidRPr="00295056" w:rsidRDefault="00370CCE" w:rsidP="00A15443">
            <w:pPr>
              <w:rPr>
                <w:rFonts w:ascii="Calibri" w:hAnsi="Calibri" w:cs="Calibri"/>
                <w:lang w:val="en-US"/>
              </w:rPr>
            </w:pPr>
          </w:p>
        </w:tc>
        <w:tc>
          <w:tcPr>
            <w:tcW w:w="1834" w:type="dxa"/>
          </w:tcPr>
          <w:p w14:paraId="5E99AC70" w14:textId="77777777" w:rsidR="00370CCE" w:rsidRPr="00295056" w:rsidRDefault="00370CCE" w:rsidP="00A15443">
            <w:pPr>
              <w:rPr>
                <w:rFonts w:ascii="Calibri" w:hAnsi="Calibri" w:cs="Calibri"/>
                <w:lang w:val="en-US"/>
              </w:rPr>
            </w:pPr>
          </w:p>
        </w:tc>
        <w:tc>
          <w:tcPr>
            <w:tcW w:w="4242" w:type="dxa"/>
          </w:tcPr>
          <w:p w14:paraId="48792DBD" w14:textId="77777777" w:rsidR="00370CCE" w:rsidRPr="00295056" w:rsidRDefault="00370CCE" w:rsidP="00A15443">
            <w:pPr>
              <w:rPr>
                <w:rFonts w:ascii="Calibri" w:hAnsi="Calibri" w:cs="Calibri"/>
                <w:lang w:val="en-US"/>
              </w:rPr>
            </w:pPr>
          </w:p>
        </w:tc>
      </w:tr>
      <w:tr w:rsidR="00425363" w:rsidRPr="009D0367" w14:paraId="44DA5CB1" w14:textId="77777777" w:rsidTr="00425363">
        <w:tc>
          <w:tcPr>
            <w:tcW w:w="778" w:type="dxa"/>
          </w:tcPr>
          <w:p w14:paraId="25790E90" w14:textId="189D637B" w:rsidR="00425363" w:rsidRDefault="00425363" w:rsidP="00A15443">
            <w:pPr>
              <w:rPr>
                <w:rFonts w:ascii="Calibri" w:hAnsi="Calibri" w:cs="Calibri"/>
                <w:lang w:val="en-US"/>
              </w:rPr>
            </w:pPr>
            <w:r>
              <w:rPr>
                <w:rFonts w:ascii="Calibri" w:hAnsi="Calibri" w:cs="Calibri"/>
                <w:lang w:val="en-US"/>
              </w:rPr>
              <w:t>4</w:t>
            </w:r>
            <w:r w:rsidR="00A954F2">
              <w:rPr>
                <w:rFonts w:ascii="Calibri" w:hAnsi="Calibri" w:cs="Calibri"/>
                <w:lang w:val="en-US"/>
              </w:rPr>
              <w:t>9</w:t>
            </w:r>
            <w:r>
              <w:rPr>
                <w:rFonts w:ascii="Calibri" w:hAnsi="Calibri" w:cs="Calibri"/>
                <w:lang w:val="en-US"/>
              </w:rPr>
              <w:t>.</w:t>
            </w:r>
          </w:p>
        </w:tc>
        <w:tc>
          <w:tcPr>
            <w:tcW w:w="5210" w:type="dxa"/>
          </w:tcPr>
          <w:p w14:paraId="303075C4" w14:textId="2051CF25" w:rsidR="00425363" w:rsidRPr="00CE67C8" w:rsidRDefault="00BB2BBE" w:rsidP="00BB2BBE">
            <w:pPr>
              <w:rPr>
                <w:rFonts w:ascii="Calibri" w:hAnsi="Calibri" w:cs="Calibri"/>
                <w:color w:val="000000"/>
                <w:lang w:val="en-US"/>
              </w:rPr>
            </w:pPr>
            <w:r w:rsidRPr="00BB2BBE">
              <w:rPr>
                <w:rFonts w:ascii="Calibri" w:hAnsi="Calibri" w:cs="Calibri"/>
                <w:color w:val="000000"/>
                <w:lang w:val="en-US"/>
              </w:rPr>
              <w:t>exit strategies, in particular the establishment of a mandatory adequate transition period:</w:t>
            </w:r>
          </w:p>
        </w:tc>
        <w:tc>
          <w:tcPr>
            <w:tcW w:w="1275" w:type="dxa"/>
          </w:tcPr>
          <w:p w14:paraId="4E22B6AB" w14:textId="77777777" w:rsidR="00425363" w:rsidRPr="00295056" w:rsidRDefault="00425363" w:rsidP="00A15443">
            <w:pPr>
              <w:rPr>
                <w:rFonts w:ascii="Calibri" w:hAnsi="Calibri" w:cs="Calibri"/>
                <w:lang w:val="en-US"/>
              </w:rPr>
            </w:pPr>
          </w:p>
        </w:tc>
        <w:tc>
          <w:tcPr>
            <w:tcW w:w="1834" w:type="dxa"/>
          </w:tcPr>
          <w:p w14:paraId="24C6AF7D" w14:textId="77777777" w:rsidR="00425363" w:rsidRPr="00295056" w:rsidRDefault="00425363" w:rsidP="00A15443">
            <w:pPr>
              <w:rPr>
                <w:rFonts w:ascii="Calibri" w:hAnsi="Calibri" w:cs="Calibri"/>
                <w:lang w:val="en-US"/>
              </w:rPr>
            </w:pPr>
          </w:p>
        </w:tc>
        <w:tc>
          <w:tcPr>
            <w:tcW w:w="4242" w:type="dxa"/>
          </w:tcPr>
          <w:p w14:paraId="7547216E" w14:textId="77777777" w:rsidR="00425363" w:rsidRPr="00295056" w:rsidRDefault="00425363" w:rsidP="00A15443">
            <w:pPr>
              <w:rPr>
                <w:rFonts w:ascii="Calibri" w:hAnsi="Calibri" w:cs="Calibri"/>
                <w:lang w:val="en-US"/>
              </w:rPr>
            </w:pPr>
          </w:p>
        </w:tc>
      </w:tr>
      <w:tr w:rsidR="00425363" w:rsidRPr="009D0367" w14:paraId="4BFD78DD" w14:textId="77777777" w:rsidTr="00425363">
        <w:tc>
          <w:tcPr>
            <w:tcW w:w="778" w:type="dxa"/>
          </w:tcPr>
          <w:p w14:paraId="6806058F" w14:textId="7AAA2270" w:rsidR="00425363" w:rsidRDefault="00BB2BBE" w:rsidP="00A15443">
            <w:pPr>
              <w:rPr>
                <w:rFonts w:ascii="Calibri" w:hAnsi="Calibri" w:cs="Calibri"/>
                <w:lang w:val="en-US"/>
              </w:rPr>
            </w:pPr>
            <w:r>
              <w:rPr>
                <w:rFonts w:ascii="Calibri" w:hAnsi="Calibri" w:cs="Calibri"/>
                <w:lang w:val="en-US"/>
              </w:rPr>
              <w:t>4</w:t>
            </w:r>
            <w:r w:rsidR="00A954F2">
              <w:rPr>
                <w:rFonts w:ascii="Calibri" w:hAnsi="Calibri" w:cs="Calibri"/>
                <w:lang w:val="en-US"/>
              </w:rPr>
              <w:t>9</w:t>
            </w:r>
            <w:r>
              <w:rPr>
                <w:rFonts w:ascii="Calibri" w:hAnsi="Calibri" w:cs="Calibri"/>
                <w:lang w:val="en-US"/>
              </w:rPr>
              <w:t>a.</w:t>
            </w:r>
          </w:p>
        </w:tc>
        <w:tc>
          <w:tcPr>
            <w:tcW w:w="5210" w:type="dxa"/>
          </w:tcPr>
          <w:p w14:paraId="4A10253A" w14:textId="6E4076A6" w:rsidR="00425363" w:rsidRPr="00CE67C8" w:rsidRDefault="00BB2BBE" w:rsidP="00BB2BBE">
            <w:pPr>
              <w:rPr>
                <w:rFonts w:ascii="Calibri" w:hAnsi="Calibri" w:cs="Calibri"/>
                <w:color w:val="000000"/>
                <w:lang w:val="en-US"/>
              </w:rPr>
            </w:pPr>
            <w:r w:rsidRPr="00BB2BBE">
              <w:rPr>
                <w:rFonts w:ascii="Calibri" w:hAnsi="Calibri" w:cs="Calibri"/>
                <w:color w:val="000000"/>
                <w:lang w:val="en-US"/>
              </w:rPr>
              <w:t>during which the ICT third-party service provider will continue providing the respective functions, or ICT services, with a view to reducing the risk of disruption at the financial entity or to ensure its effective resolution and restructuring;</w:t>
            </w:r>
          </w:p>
        </w:tc>
        <w:tc>
          <w:tcPr>
            <w:tcW w:w="1275" w:type="dxa"/>
          </w:tcPr>
          <w:p w14:paraId="6870F996" w14:textId="77777777" w:rsidR="00425363" w:rsidRPr="00295056" w:rsidRDefault="00425363" w:rsidP="00A15443">
            <w:pPr>
              <w:rPr>
                <w:rFonts w:ascii="Calibri" w:hAnsi="Calibri" w:cs="Calibri"/>
                <w:lang w:val="en-US"/>
              </w:rPr>
            </w:pPr>
          </w:p>
        </w:tc>
        <w:tc>
          <w:tcPr>
            <w:tcW w:w="1834" w:type="dxa"/>
          </w:tcPr>
          <w:p w14:paraId="5123CF53" w14:textId="77777777" w:rsidR="00425363" w:rsidRPr="00295056" w:rsidRDefault="00425363" w:rsidP="00A15443">
            <w:pPr>
              <w:rPr>
                <w:rFonts w:ascii="Calibri" w:hAnsi="Calibri" w:cs="Calibri"/>
                <w:lang w:val="en-US"/>
              </w:rPr>
            </w:pPr>
          </w:p>
        </w:tc>
        <w:tc>
          <w:tcPr>
            <w:tcW w:w="4242" w:type="dxa"/>
          </w:tcPr>
          <w:p w14:paraId="65D58934" w14:textId="77777777" w:rsidR="00425363" w:rsidRPr="00295056" w:rsidRDefault="00425363" w:rsidP="00A15443">
            <w:pPr>
              <w:rPr>
                <w:rFonts w:ascii="Calibri" w:hAnsi="Calibri" w:cs="Calibri"/>
                <w:lang w:val="en-US"/>
              </w:rPr>
            </w:pPr>
          </w:p>
        </w:tc>
      </w:tr>
      <w:tr w:rsidR="00BB2BBE" w:rsidRPr="009D0367" w14:paraId="6E1E155B" w14:textId="77777777" w:rsidTr="00425363">
        <w:tc>
          <w:tcPr>
            <w:tcW w:w="778" w:type="dxa"/>
          </w:tcPr>
          <w:p w14:paraId="36CCDFBC" w14:textId="286261F5" w:rsidR="00BB2BBE" w:rsidRDefault="00BB2BBE" w:rsidP="00A15443">
            <w:pPr>
              <w:rPr>
                <w:rFonts w:ascii="Calibri" w:hAnsi="Calibri" w:cs="Calibri"/>
                <w:lang w:val="en-US"/>
              </w:rPr>
            </w:pPr>
            <w:r>
              <w:rPr>
                <w:rFonts w:ascii="Calibri" w:hAnsi="Calibri" w:cs="Calibri"/>
                <w:lang w:val="en-US"/>
              </w:rPr>
              <w:t>4</w:t>
            </w:r>
            <w:r w:rsidR="00A954F2">
              <w:rPr>
                <w:rFonts w:ascii="Calibri" w:hAnsi="Calibri" w:cs="Calibri"/>
                <w:lang w:val="en-US"/>
              </w:rPr>
              <w:t>9</w:t>
            </w:r>
            <w:r>
              <w:rPr>
                <w:rFonts w:ascii="Calibri" w:hAnsi="Calibri" w:cs="Calibri"/>
                <w:lang w:val="en-US"/>
              </w:rPr>
              <w:t>b.</w:t>
            </w:r>
          </w:p>
        </w:tc>
        <w:tc>
          <w:tcPr>
            <w:tcW w:w="5210" w:type="dxa"/>
          </w:tcPr>
          <w:p w14:paraId="6CAFF880" w14:textId="21967E39" w:rsidR="00BB2BBE" w:rsidRPr="00BB2BBE" w:rsidRDefault="00C47BCD" w:rsidP="00C47BCD">
            <w:pPr>
              <w:rPr>
                <w:rFonts w:ascii="Calibri" w:hAnsi="Calibri" w:cs="Calibri"/>
                <w:color w:val="000000"/>
                <w:lang w:val="en-US"/>
              </w:rPr>
            </w:pPr>
            <w:r w:rsidRPr="00C47BCD">
              <w:rPr>
                <w:rFonts w:ascii="Calibri" w:hAnsi="Calibri" w:cs="Calibri"/>
                <w:color w:val="000000"/>
                <w:lang w:val="en-US"/>
              </w:rPr>
              <w:t>allowing the financial entity to migrate to another ICT third-party service provider or change to in-house solutions consistent with the complexity of the service provided.</w:t>
            </w:r>
          </w:p>
        </w:tc>
        <w:tc>
          <w:tcPr>
            <w:tcW w:w="1275" w:type="dxa"/>
          </w:tcPr>
          <w:p w14:paraId="35DD3219" w14:textId="77777777" w:rsidR="00BB2BBE" w:rsidRPr="00295056" w:rsidRDefault="00BB2BBE" w:rsidP="00A15443">
            <w:pPr>
              <w:rPr>
                <w:rFonts w:ascii="Calibri" w:hAnsi="Calibri" w:cs="Calibri"/>
                <w:lang w:val="en-US"/>
              </w:rPr>
            </w:pPr>
          </w:p>
        </w:tc>
        <w:tc>
          <w:tcPr>
            <w:tcW w:w="1834" w:type="dxa"/>
          </w:tcPr>
          <w:p w14:paraId="01D7BCA2" w14:textId="77777777" w:rsidR="00BB2BBE" w:rsidRPr="00295056" w:rsidRDefault="00BB2BBE" w:rsidP="00A15443">
            <w:pPr>
              <w:rPr>
                <w:rFonts w:ascii="Calibri" w:hAnsi="Calibri" w:cs="Calibri"/>
                <w:lang w:val="en-US"/>
              </w:rPr>
            </w:pPr>
          </w:p>
        </w:tc>
        <w:tc>
          <w:tcPr>
            <w:tcW w:w="4242" w:type="dxa"/>
          </w:tcPr>
          <w:p w14:paraId="4C6C3445" w14:textId="77777777" w:rsidR="00BB2BBE" w:rsidRPr="00295056" w:rsidRDefault="00BB2BBE" w:rsidP="00A15443">
            <w:pPr>
              <w:rPr>
                <w:rFonts w:ascii="Calibri" w:hAnsi="Calibri" w:cs="Calibri"/>
                <w:lang w:val="en-US"/>
              </w:rPr>
            </w:pPr>
          </w:p>
        </w:tc>
      </w:tr>
    </w:tbl>
    <w:p w14:paraId="2521B386" w14:textId="77777777" w:rsidR="000D1517" w:rsidRPr="00295056" w:rsidRDefault="000D1517" w:rsidP="00D70666">
      <w:pPr>
        <w:pStyle w:val="Normaalweb"/>
        <w:spacing w:before="0" w:beforeAutospacing="0" w:after="225" w:afterAutospacing="0"/>
        <w:rPr>
          <w:rFonts w:ascii="Calibri" w:hAnsi="Calibri" w:cs="Calibri"/>
          <w:color w:val="000000"/>
          <w:lang w:val="en-US"/>
        </w:rPr>
      </w:pPr>
    </w:p>
    <w:sectPr w:rsidR="000D1517" w:rsidRPr="00295056" w:rsidSect="00295056">
      <w:headerReference w:type="even" r:id="rId15"/>
      <w:headerReference w:type="default" r:id="rId16"/>
      <w:footerReference w:type="even" r:id="rId17"/>
      <w:footerReference w:type="default" r:id="rId18"/>
      <w:headerReference w:type="first" r:id="rId19"/>
      <w:footerReference w:type="first" r:id="rId20"/>
      <w:pgSz w:w="16840" w:h="11900" w:orient="landscape"/>
      <w:pgMar w:top="1134" w:right="2357" w:bottom="1134" w:left="1134" w:header="845"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4151" w14:textId="77777777" w:rsidR="00357042" w:rsidRDefault="00357042" w:rsidP="009D41F5">
      <w:pPr>
        <w:spacing w:after="0" w:line="240" w:lineRule="auto"/>
      </w:pPr>
      <w:r>
        <w:separator/>
      </w:r>
    </w:p>
  </w:endnote>
  <w:endnote w:type="continuationSeparator" w:id="0">
    <w:p w14:paraId="036B260A" w14:textId="77777777" w:rsidR="00357042" w:rsidRDefault="00357042" w:rsidP="009D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E5DD" w14:textId="77777777" w:rsidR="00394B2A" w:rsidRDefault="00394B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1992" w14:textId="77777777" w:rsidR="00124625" w:rsidRDefault="00124625" w:rsidP="00124625">
    <w:pPr>
      <w:pStyle w:val="Voettekst"/>
      <w:rPr>
        <w:color w:val="808080" w:themeColor="background1" w:themeShade="80"/>
        <w:sz w:val="20"/>
        <w:szCs w:val="20"/>
      </w:rPr>
    </w:pPr>
  </w:p>
  <w:p w14:paraId="3CE3BA5C" w14:textId="77777777" w:rsidR="005B4D5F" w:rsidRPr="00781738" w:rsidRDefault="005B4D5F" w:rsidP="005B4D5F">
    <w:pPr>
      <w:pStyle w:val="Voettekst"/>
      <w:ind w:right="360"/>
      <w:rPr>
        <w:color w:val="808080" w:themeColor="background1" w:themeShade="80"/>
        <w:sz w:val="14"/>
        <w:szCs w:val="14"/>
      </w:rPr>
    </w:pPr>
  </w:p>
  <w:sdt>
    <w:sdtPr>
      <w:rPr>
        <w:rStyle w:val="Paginanummer"/>
        <w:sz w:val="14"/>
        <w:szCs w:val="14"/>
      </w:rPr>
      <w:id w:val="-1240938489"/>
      <w:docPartObj>
        <w:docPartGallery w:val="Page Numbers (Bottom of Page)"/>
        <w:docPartUnique/>
      </w:docPartObj>
    </w:sdtPr>
    <w:sdtContent>
      <w:p w14:paraId="07712169" w14:textId="77777777" w:rsidR="005B4D5F" w:rsidRPr="00D14369" w:rsidRDefault="005B4D5F" w:rsidP="005B4D5F">
        <w:pPr>
          <w:pStyle w:val="Voettekst"/>
          <w:framePr w:h="371" w:hRule="exact" w:wrap="none" w:vAnchor="text" w:hAnchor="page" w:x="11044" w:y="195"/>
          <w:rPr>
            <w:rStyle w:val="Paginanummer"/>
            <w:sz w:val="14"/>
            <w:szCs w:val="14"/>
            <w:lang w:val="en-US"/>
          </w:rPr>
        </w:pPr>
        <w:r w:rsidRPr="00781738">
          <w:rPr>
            <w:rStyle w:val="Paginanummer"/>
            <w:color w:val="767171" w:themeColor="background2" w:themeShade="80"/>
            <w:sz w:val="14"/>
            <w:szCs w:val="14"/>
          </w:rPr>
          <w:fldChar w:fldCharType="begin"/>
        </w:r>
        <w:r w:rsidRPr="00D14369">
          <w:rPr>
            <w:rStyle w:val="Paginanummer"/>
            <w:color w:val="767171" w:themeColor="background2" w:themeShade="80"/>
            <w:sz w:val="14"/>
            <w:szCs w:val="14"/>
            <w:lang w:val="en-US"/>
          </w:rPr>
          <w:instrText xml:space="preserve"> PAGE </w:instrText>
        </w:r>
        <w:r w:rsidRPr="00781738">
          <w:rPr>
            <w:rStyle w:val="Paginanummer"/>
            <w:color w:val="767171" w:themeColor="background2" w:themeShade="80"/>
            <w:sz w:val="14"/>
            <w:szCs w:val="14"/>
          </w:rPr>
          <w:fldChar w:fldCharType="separate"/>
        </w:r>
        <w:r w:rsidRPr="00D14369">
          <w:rPr>
            <w:rStyle w:val="Paginanummer"/>
            <w:color w:val="767171" w:themeColor="background2" w:themeShade="80"/>
            <w:sz w:val="14"/>
            <w:szCs w:val="14"/>
            <w:lang w:val="en-US"/>
          </w:rPr>
          <w:t>2</w:t>
        </w:r>
        <w:r w:rsidRPr="00781738">
          <w:rPr>
            <w:rStyle w:val="Paginanummer"/>
            <w:color w:val="767171" w:themeColor="background2" w:themeShade="80"/>
            <w:sz w:val="14"/>
            <w:szCs w:val="14"/>
          </w:rPr>
          <w:fldChar w:fldCharType="end"/>
        </w:r>
      </w:p>
    </w:sdtContent>
  </w:sdt>
  <w:p w14:paraId="7C9B316E" w14:textId="51D62DB2" w:rsidR="009D41F5" w:rsidRPr="00D14369" w:rsidRDefault="005B4D5F" w:rsidP="005B4D5F">
    <w:pPr>
      <w:pStyle w:val="Voettekst"/>
      <w:tabs>
        <w:tab w:val="clear" w:pos="9072"/>
        <w:tab w:val="left" w:pos="284"/>
        <w:tab w:val="right" w:pos="9632"/>
      </w:tabs>
      <w:ind w:right="-57"/>
      <w:rPr>
        <w:color w:val="808080" w:themeColor="background1" w:themeShade="80"/>
        <w:sz w:val="14"/>
        <w:szCs w:val="14"/>
        <w:lang w:val="en-US"/>
      </w:rPr>
    </w:pPr>
    <w:r w:rsidRPr="00954FF6">
      <w:rPr>
        <w:noProof/>
        <w:color w:val="767171" w:themeColor="background2" w:themeShade="80"/>
        <w:sz w:val="16"/>
        <w:szCs w:val="16"/>
      </w:rPr>
      <w:drawing>
        <wp:inline distT="0" distB="0" distL="0" distR="0" wp14:anchorId="27233875" wp14:editId="0D39982E">
          <wp:extent cx="698500" cy="2032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98500" cy="203200"/>
                  </a:xfrm>
                  <a:prstGeom prst="rect">
                    <a:avLst/>
                  </a:prstGeom>
                </pic:spPr>
              </pic:pic>
            </a:graphicData>
          </a:graphic>
        </wp:inline>
      </w:drawing>
    </w:r>
    <w:r w:rsidRPr="00D14369">
      <w:rPr>
        <w:color w:val="808080" w:themeColor="background1" w:themeShade="80"/>
        <w:sz w:val="14"/>
        <w:szCs w:val="14"/>
        <w:lang w:val="en-US"/>
      </w:rPr>
      <w:tab/>
      <w:t xml:space="preserve">                                  </w:t>
    </w:r>
    <w:r w:rsidR="00FB521A" w:rsidRPr="00D14369">
      <w:rPr>
        <w:color w:val="808080" w:themeColor="background1" w:themeShade="80"/>
        <w:sz w:val="14"/>
        <w:szCs w:val="14"/>
        <w:lang w:val="en-US"/>
      </w:rPr>
      <w:t xml:space="preserve">Checklist </w:t>
    </w:r>
    <w:r w:rsidR="00D14369" w:rsidRPr="00D14369">
      <w:rPr>
        <w:color w:val="808080" w:themeColor="background1" w:themeShade="80"/>
        <w:sz w:val="14"/>
        <w:szCs w:val="14"/>
        <w:lang w:val="en-US"/>
      </w:rPr>
      <w:t xml:space="preserve">IT and </w:t>
    </w:r>
    <w:r w:rsidR="00FB521A" w:rsidRPr="00D14369">
      <w:rPr>
        <w:color w:val="808080" w:themeColor="background1" w:themeShade="80"/>
        <w:sz w:val="14"/>
        <w:szCs w:val="14"/>
        <w:lang w:val="en-US"/>
      </w:rPr>
      <w:t>outsourcing contracts</w:t>
    </w:r>
    <w:r w:rsidR="00203B7D" w:rsidRPr="00D14369">
      <w:rPr>
        <w:color w:val="808080" w:themeColor="background1" w:themeShade="80"/>
        <w:sz w:val="16"/>
        <w:szCs w:val="16"/>
        <w:lang w:val="en-US"/>
      </w:rPr>
      <w:tab/>
    </w:r>
    <w:r w:rsidR="00203B7D" w:rsidRPr="00D14369">
      <w:rPr>
        <w:color w:val="808080" w:themeColor="background1" w:themeShade="80"/>
        <w:sz w:val="14"/>
        <w:szCs w:val="14"/>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E68F" w14:textId="11331696" w:rsidR="00124625" w:rsidRPr="00954FF6" w:rsidRDefault="00AB3A7E" w:rsidP="00AB3A7E">
    <w:pPr>
      <w:pStyle w:val="Voettekst"/>
      <w:tabs>
        <w:tab w:val="clear" w:pos="9072"/>
        <w:tab w:val="left" w:pos="284"/>
        <w:tab w:val="right" w:pos="9632"/>
      </w:tabs>
      <w:ind w:right="-7"/>
      <w:rPr>
        <w:color w:val="767171" w:themeColor="background2" w:themeShade="80"/>
        <w:sz w:val="16"/>
        <w:szCs w:val="16"/>
      </w:rPr>
    </w:pPr>
    <w:r w:rsidRPr="00954FF6">
      <w:rPr>
        <w:noProof/>
        <w:color w:val="767171" w:themeColor="background2" w:themeShade="80"/>
        <w:sz w:val="16"/>
        <w:szCs w:val="16"/>
      </w:rPr>
      <w:drawing>
        <wp:inline distT="0" distB="0" distL="0" distR="0" wp14:anchorId="17ACDF8A" wp14:editId="03956003">
          <wp:extent cx="698500" cy="203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98500" cy="203200"/>
                  </a:xfrm>
                  <a:prstGeom prst="rect">
                    <a:avLst/>
                  </a:prstGeom>
                </pic:spPr>
              </pic:pic>
            </a:graphicData>
          </a:graphic>
        </wp:inline>
      </w:drawing>
    </w:r>
    <w:r w:rsidRPr="00954FF6">
      <w:rPr>
        <w:color w:val="767171" w:themeColor="background2" w:themeShade="80"/>
        <w:sz w:val="16"/>
        <w:szCs w:val="16"/>
      </w:rPr>
      <w:tab/>
    </w:r>
    <w:r w:rsidRPr="00954FF6">
      <w:rPr>
        <w:color w:val="767171" w:themeColor="background2" w:themeShade="80"/>
        <w:sz w:val="14"/>
        <w:szCs w:val="14"/>
      </w:rPr>
      <w:t xml:space="preserve">                                  </w:t>
    </w:r>
    <w:r w:rsidR="00394B2A">
      <w:rPr>
        <w:color w:val="808080" w:themeColor="background1" w:themeShade="80"/>
        <w:sz w:val="14"/>
        <w:szCs w:val="14"/>
      </w:rPr>
      <w:t>Checklist</w:t>
    </w:r>
    <w:r w:rsidR="00D14369">
      <w:rPr>
        <w:color w:val="808080" w:themeColor="background1" w:themeShade="80"/>
        <w:sz w:val="14"/>
        <w:szCs w:val="14"/>
      </w:rPr>
      <w:t xml:space="preserve"> IT and</w:t>
    </w:r>
    <w:bookmarkStart w:id="1" w:name="OpenAt"/>
    <w:bookmarkEnd w:id="1"/>
    <w:r w:rsidR="00394B2A">
      <w:rPr>
        <w:color w:val="808080" w:themeColor="background1" w:themeShade="80"/>
        <w:sz w:val="14"/>
        <w:szCs w:val="14"/>
      </w:rPr>
      <w:t xml:space="preserve"> outsourcing contracts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A42F" w14:textId="77777777" w:rsidR="00357042" w:rsidRDefault="00357042" w:rsidP="009D41F5">
      <w:pPr>
        <w:spacing w:after="0" w:line="240" w:lineRule="auto"/>
      </w:pPr>
      <w:r>
        <w:separator/>
      </w:r>
    </w:p>
  </w:footnote>
  <w:footnote w:type="continuationSeparator" w:id="0">
    <w:p w14:paraId="2B9EEAA5" w14:textId="77777777" w:rsidR="00357042" w:rsidRDefault="00357042" w:rsidP="009D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7FC" w14:textId="77777777" w:rsidR="00394B2A" w:rsidRDefault="00394B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AF5C" w14:textId="48A40211" w:rsidR="009D41F5" w:rsidRDefault="00767CE9" w:rsidP="000C584A">
    <w:pPr>
      <w:pStyle w:val="Koptekst"/>
    </w:pPr>
    <w:r>
      <w:rPr>
        <w:noProof/>
      </w:rPr>
      <w:drawing>
        <wp:inline distT="0" distB="0" distL="0" distR="0" wp14:anchorId="2837BB05" wp14:editId="499B74CE">
          <wp:extent cx="995881" cy="39837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68174" cy="4272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FEF" w14:textId="658AF6D0" w:rsidR="00257882" w:rsidRPr="009435DE" w:rsidRDefault="009435DE" w:rsidP="009435DE">
    <w:pPr>
      <w:pStyle w:val="Koptekst"/>
      <w:rPr>
        <w:sz w:val="16"/>
        <w:szCs w:val="16"/>
      </w:rPr>
    </w:pPr>
    <w:r>
      <w:rPr>
        <w:noProof/>
        <w:sz w:val="16"/>
        <w:szCs w:val="16"/>
      </w:rPr>
      <w:drawing>
        <wp:inline distT="0" distB="0" distL="0" distR="0" wp14:anchorId="1F2B650D" wp14:editId="00A3192E">
          <wp:extent cx="1740358" cy="86234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740358" cy="86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852F8"/>
    <w:multiLevelType w:val="hybridMultilevel"/>
    <w:tmpl w:val="CB6CA414"/>
    <w:lvl w:ilvl="0" w:tplc="0413001B">
      <w:start w:val="1"/>
      <w:numFmt w:val="lowerRoman"/>
      <w:lvlText w:val="%1."/>
      <w:lvlJc w:val="right"/>
      <w:pPr>
        <w:ind w:left="1800" w:hanging="360"/>
      </w:pPr>
    </w:lvl>
    <w:lvl w:ilvl="1" w:tplc="0413001B">
      <w:start w:val="1"/>
      <w:numFmt w:val="lowerRoman"/>
      <w:lvlText w:val="%2."/>
      <w:lvlJc w:val="right"/>
      <w:pPr>
        <w:ind w:left="2520" w:hanging="360"/>
      </w:pPr>
    </w:lvl>
    <w:lvl w:ilvl="2" w:tplc="0BEA58A0">
      <w:start w:val="1"/>
      <w:numFmt w:val="lowerLetter"/>
      <w:lvlText w:val="%3."/>
      <w:lvlJc w:val="left"/>
      <w:pPr>
        <w:ind w:left="3420" w:hanging="360"/>
      </w:pPr>
      <w:rPr>
        <w:rFonts w:hint="default"/>
      </w:r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 w15:restartNumberingAfterBreak="0">
    <w:nsid w:val="3E840AA7"/>
    <w:multiLevelType w:val="hybridMultilevel"/>
    <w:tmpl w:val="E89A1C46"/>
    <w:lvl w:ilvl="0" w:tplc="040E1064">
      <w:start w:val="1"/>
      <w:numFmt w:val="lowerLetter"/>
      <w:lvlText w:val="%1."/>
      <w:lvlJc w:val="left"/>
      <w:pPr>
        <w:ind w:left="1080" w:hanging="360"/>
      </w:pPr>
      <w:rPr>
        <w:rFonts w:hint="default"/>
        <w:b w:val="0"/>
        <w:bCs w:val="0"/>
      </w:rPr>
    </w:lvl>
    <w:lvl w:ilvl="1" w:tplc="6944B57C">
      <w:start w:val="1"/>
      <w:numFmt w:val="lowerRoman"/>
      <w:lvlText w:val="%2."/>
      <w:lvlJc w:val="left"/>
      <w:pPr>
        <w:ind w:left="2160" w:hanging="72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F0E6C5C"/>
    <w:multiLevelType w:val="hybridMultilevel"/>
    <w:tmpl w:val="2042DF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79142E"/>
    <w:multiLevelType w:val="hybridMultilevel"/>
    <w:tmpl w:val="C36EFA5A"/>
    <w:lvl w:ilvl="0" w:tplc="04130019">
      <w:start w:val="1"/>
      <w:numFmt w:val="lowerLetter"/>
      <w:lvlText w:val="%1."/>
      <w:lvlJc w:val="left"/>
      <w:pPr>
        <w:ind w:left="1451" w:hanging="360"/>
      </w:pPr>
    </w:lvl>
    <w:lvl w:ilvl="1" w:tplc="04130019" w:tentative="1">
      <w:start w:val="1"/>
      <w:numFmt w:val="lowerLetter"/>
      <w:lvlText w:val="%2."/>
      <w:lvlJc w:val="left"/>
      <w:pPr>
        <w:ind w:left="2171" w:hanging="360"/>
      </w:pPr>
    </w:lvl>
    <w:lvl w:ilvl="2" w:tplc="0413001B" w:tentative="1">
      <w:start w:val="1"/>
      <w:numFmt w:val="lowerRoman"/>
      <w:lvlText w:val="%3."/>
      <w:lvlJc w:val="right"/>
      <w:pPr>
        <w:ind w:left="2891" w:hanging="180"/>
      </w:pPr>
    </w:lvl>
    <w:lvl w:ilvl="3" w:tplc="0413000F" w:tentative="1">
      <w:start w:val="1"/>
      <w:numFmt w:val="decimal"/>
      <w:lvlText w:val="%4."/>
      <w:lvlJc w:val="left"/>
      <w:pPr>
        <w:ind w:left="3611" w:hanging="360"/>
      </w:pPr>
    </w:lvl>
    <w:lvl w:ilvl="4" w:tplc="04130019" w:tentative="1">
      <w:start w:val="1"/>
      <w:numFmt w:val="lowerLetter"/>
      <w:lvlText w:val="%5."/>
      <w:lvlJc w:val="left"/>
      <w:pPr>
        <w:ind w:left="4331" w:hanging="360"/>
      </w:pPr>
    </w:lvl>
    <w:lvl w:ilvl="5" w:tplc="0413001B" w:tentative="1">
      <w:start w:val="1"/>
      <w:numFmt w:val="lowerRoman"/>
      <w:lvlText w:val="%6."/>
      <w:lvlJc w:val="right"/>
      <w:pPr>
        <w:ind w:left="5051" w:hanging="180"/>
      </w:pPr>
    </w:lvl>
    <w:lvl w:ilvl="6" w:tplc="0413000F" w:tentative="1">
      <w:start w:val="1"/>
      <w:numFmt w:val="decimal"/>
      <w:lvlText w:val="%7."/>
      <w:lvlJc w:val="left"/>
      <w:pPr>
        <w:ind w:left="5771" w:hanging="360"/>
      </w:pPr>
    </w:lvl>
    <w:lvl w:ilvl="7" w:tplc="04130019" w:tentative="1">
      <w:start w:val="1"/>
      <w:numFmt w:val="lowerLetter"/>
      <w:lvlText w:val="%8."/>
      <w:lvlJc w:val="left"/>
      <w:pPr>
        <w:ind w:left="6491" w:hanging="360"/>
      </w:pPr>
    </w:lvl>
    <w:lvl w:ilvl="8" w:tplc="0413001B" w:tentative="1">
      <w:start w:val="1"/>
      <w:numFmt w:val="lowerRoman"/>
      <w:lvlText w:val="%9."/>
      <w:lvlJc w:val="right"/>
      <w:pPr>
        <w:ind w:left="7211" w:hanging="180"/>
      </w:pPr>
    </w:lvl>
  </w:abstractNum>
  <w:num w:numId="1" w16cid:durableId="1857764729">
    <w:abstractNumId w:val="2"/>
  </w:num>
  <w:num w:numId="2" w16cid:durableId="424495412">
    <w:abstractNumId w:val="1"/>
  </w:num>
  <w:num w:numId="3" w16cid:durableId="1482967514">
    <w:abstractNumId w:val="3"/>
  </w:num>
  <w:num w:numId="4" w16cid:durableId="37404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8A"/>
    <w:rsid w:val="000045AA"/>
    <w:rsid w:val="0001259B"/>
    <w:rsid w:val="00023EBA"/>
    <w:rsid w:val="00034667"/>
    <w:rsid w:val="000512C9"/>
    <w:rsid w:val="00052C60"/>
    <w:rsid w:val="0005677B"/>
    <w:rsid w:val="00056FE3"/>
    <w:rsid w:val="00062F1E"/>
    <w:rsid w:val="00074D88"/>
    <w:rsid w:val="00077FEE"/>
    <w:rsid w:val="00083B4F"/>
    <w:rsid w:val="00085DA2"/>
    <w:rsid w:val="000B4838"/>
    <w:rsid w:val="000C584A"/>
    <w:rsid w:val="000D1517"/>
    <w:rsid w:val="000F4B87"/>
    <w:rsid w:val="000F6264"/>
    <w:rsid w:val="00115171"/>
    <w:rsid w:val="00123759"/>
    <w:rsid w:val="00124625"/>
    <w:rsid w:val="00137B09"/>
    <w:rsid w:val="00157B2F"/>
    <w:rsid w:val="00160AF6"/>
    <w:rsid w:val="00171649"/>
    <w:rsid w:val="00185A3B"/>
    <w:rsid w:val="001B0FD1"/>
    <w:rsid w:val="001B4221"/>
    <w:rsid w:val="001B72E0"/>
    <w:rsid w:val="001C3889"/>
    <w:rsid w:val="001C5388"/>
    <w:rsid w:val="00203B7D"/>
    <w:rsid w:val="00204CAD"/>
    <w:rsid w:val="0020688A"/>
    <w:rsid w:val="00222433"/>
    <w:rsid w:val="00241196"/>
    <w:rsid w:val="00241DBD"/>
    <w:rsid w:val="00244D2F"/>
    <w:rsid w:val="00247F9E"/>
    <w:rsid w:val="00257882"/>
    <w:rsid w:val="00261A90"/>
    <w:rsid w:val="00295056"/>
    <w:rsid w:val="002957D0"/>
    <w:rsid w:val="002E09F0"/>
    <w:rsid w:val="002F0191"/>
    <w:rsid w:val="002F3793"/>
    <w:rsid w:val="002F4D6E"/>
    <w:rsid w:val="002F6092"/>
    <w:rsid w:val="003056EC"/>
    <w:rsid w:val="00307A74"/>
    <w:rsid w:val="0031391D"/>
    <w:rsid w:val="003354C5"/>
    <w:rsid w:val="00344A8F"/>
    <w:rsid w:val="00352C93"/>
    <w:rsid w:val="00355506"/>
    <w:rsid w:val="00357042"/>
    <w:rsid w:val="00357EEF"/>
    <w:rsid w:val="003645A6"/>
    <w:rsid w:val="00370CCE"/>
    <w:rsid w:val="003911F2"/>
    <w:rsid w:val="003915A5"/>
    <w:rsid w:val="00394B2A"/>
    <w:rsid w:val="003B4427"/>
    <w:rsid w:val="003B6F7A"/>
    <w:rsid w:val="003C6633"/>
    <w:rsid w:val="003D7DE4"/>
    <w:rsid w:val="003F51D7"/>
    <w:rsid w:val="003F6303"/>
    <w:rsid w:val="0040030B"/>
    <w:rsid w:val="00400F13"/>
    <w:rsid w:val="00412510"/>
    <w:rsid w:val="00425363"/>
    <w:rsid w:val="00425DCB"/>
    <w:rsid w:val="00447DEA"/>
    <w:rsid w:val="00472CAD"/>
    <w:rsid w:val="004A1A84"/>
    <w:rsid w:val="004A7129"/>
    <w:rsid w:val="004A7225"/>
    <w:rsid w:val="004B1AF6"/>
    <w:rsid w:val="004B59A5"/>
    <w:rsid w:val="004B77E6"/>
    <w:rsid w:val="004D4438"/>
    <w:rsid w:val="004E50E3"/>
    <w:rsid w:val="004F0E68"/>
    <w:rsid w:val="004F4626"/>
    <w:rsid w:val="00507C99"/>
    <w:rsid w:val="00515957"/>
    <w:rsid w:val="00527A7E"/>
    <w:rsid w:val="0053512C"/>
    <w:rsid w:val="00565F94"/>
    <w:rsid w:val="0059794C"/>
    <w:rsid w:val="005A2008"/>
    <w:rsid w:val="005B03F3"/>
    <w:rsid w:val="005B1138"/>
    <w:rsid w:val="005B4D5F"/>
    <w:rsid w:val="005C3F13"/>
    <w:rsid w:val="005C7626"/>
    <w:rsid w:val="005E7B51"/>
    <w:rsid w:val="0060403A"/>
    <w:rsid w:val="00604D23"/>
    <w:rsid w:val="006202C3"/>
    <w:rsid w:val="00646D31"/>
    <w:rsid w:val="006570B2"/>
    <w:rsid w:val="00661A55"/>
    <w:rsid w:val="00670671"/>
    <w:rsid w:val="0067172A"/>
    <w:rsid w:val="00693476"/>
    <w:rsid w:val="00696A05"/>
    <w:rsid w:val="006A2B7B"/>
    <w:rsid w:val="006C5FEE"/>
    <w:rsid w:val="006C68FA"/>
    <w:rsid w:val="006D092B"/>
    <w:rsid w:val="00706101"/>
    <w:rsid w:val="00714DE1"/>
    <w:rsid w:val="0071674B"/>
    <w:rsid w:val="00731D68"/>
    <w:rsid w:val="00734FC9"/>
    <w:rsid w:val="00744387"/>
    <w:rsid w:val="00767CE9"/>
    <w:rsid w:val="00774B0D"/>
    <w:rsid w:val="007807C2"/>
    <w:rsid w:val="00786147"/>
    <w:rsid w:val="00797964"/>
    <w:rsid w:val="007A2193"/>
    <w:rsid w:val="007A430C"/>
    <w:rsid w:val="007A6994"/>
    <w:rsid w:val="007A6D33"/>
    <w:rsid w:val="007B7778"/>
    <w:rsid w:val="007D0A95"/>
    <w:rsid w:val="007D2A2F"/>
    <w:rsid w:val="007F4A54"/>
    <w:rsid w:val="00816206"/>
    <w:rsid w:val="008170DA"/>
    <w:rsid w:val="008267D2"/>
    <w:rsid w:val="0083300D"/>
    <w:rsid w:val="00836D64"/>
    <w:rsid w:val="00843A6E"/>
    <w:rsid w:val="00845DF8"/>
    <w:rsid w:val="00847748"/>
    <w:rsid w:val="00853656"/>
    <w:rsid w:val="00854437"/>
    <w:rsid w:val="00862E18"/>
    <w:rsid w:val="008772E9"/>
    <w:rsid w:val="00882EE9"/>
    <w:rsid w:val="008871E6"/>
    <w:rsid w:val="008A43DA"/>
    <w:rsid w:val="008B59F0"/>
    <w:rsid w:val="008C606D"/>
    <w:rsid w:val="008E2752"/>
    <w:rsid w:val="008F1E10"/>
    <w:rsid w:val="008F407B"/>
    <w:rsid w:val="00916265"/>
    <w:rsid w:val="009166CF"/>
    <w:rsid w:val="00924C4F"/>
    <w:rsid w:val="00925F75"/>
    <w:rsid w:val="0093281F"/>
    <w:rsid w:val="009349A3"/>
    <w:rsid w:val="009435DE"/>
    <w:rsid w:val="00951688"/>
    <w:rsid w:val="00954FF6"/>
    <w:rsid w:val="0096116C"/>
    <w:rsid w:val="00961B43"/>
    <w:rsid w:val="009643C8"/>
    <w:rsid w:val="00965DCD"/>
    <w:rsid w:val="00987305"/>
    <w:rsid w:val="009B70BA"/>
    <w:rsid w:val="009D0367"/>
    <w:rsid w:val="009D0F1D"/>
    <w:rsid w:val="009D41F5"/>
    <w:rsid w:val="009E339D"/>
    <w:rsid w:val="009E6D9F"/>
    <w:rsid w:val="009F1871"/>
    <w:rsid w:val="009F23ED"/>
    <w:rsid w:val="009F3D53"/>
    <w:rsid w:val="00A078A8"/>
    <w:rsid w:val="00A15443"/>
    <w:rsid w:val="00A53155"/>
    <w:rsid w:val="00A55EE3"/>
    <w:rsid w:val="00A81DA0"/>
    <w:rsid w:val="00A87314"/>
    <w:rsid w:val="00A93687"/>
    <w:rsid w:val="00A93BB9"/>
    <w:rsid w:val="00A954F2"/>
    <w:rsid w:val="00A96E90"/>
    <w:rsid w:val="00AA56FA"/>
    <w:rsid w:val="00AA5E8A"/>
    <w:rsid w:val="00AB06DF"/>
    <w:rsid w:val="00AB3A7E"/>
    <w:rsid w:val="00AC7BA7"/>
    <w:rsid w:val="00AF2D2E"/>
    <w:rsid w:val="00B10583"/>
    <w:rsid w:val="00B118C6"/>
    <w:rsid w:val="00B21A88"/>
    <w:rsid w:val="00B23E09"/>
    <w:rsid w:val="00B65DD9"/>
    <w:rsid w:val="00B7791F"/>
    <w:rsid w:val="00B85F9C"/>
    <w:rsid w:val="00B9573E"/>
    <w:rsid w:val="00BA7747"/>
    <w:rsid w:val="00BA7790"/>
    <w:rsid w:val="00BA797F"/>
    <w:rsid w:val="00BB2BBE"/>
    <w:rsid w:val="00BC0EBD"/>
    <w:rsid w:val="00BD24D2"/>
    <w:rsid w:val="00BD3148"/>
    <w:rsid w:val="00BE7435"/>
    <w:rsid w:val="00C1347B"/>
    <w:rsid w:val="00C47BCD"/>
    <w:rsid w:val="00C73A35"/>
    <w:rsid w:val="00C76213"/>
    <w:rsid w:val="00C77567"/>
    <w:rsid w:val="00C97631"/>
    <w:rsid w:val="00CB1945"/>
    <w:rsid w:val="00CC0257"/>
    <w:rsid w:val="00CC401F"/>
    <w:rsid w:val="00CD303A"/>
    <w:rsid w:val="00CD75EB"/>
    <w:rsid w:val="00CE127C"/>
    <w:rsid w:val="00CE67C8"/>
    <w:rsid w:val="00CF05E0"/>
    <w:rsid w:val="00CF108D"/>
    <w:rsid w:val="00D02951"/>
    <w:rsid w:val="00D14369"/>
    <w:rsid w:val="00D14F95"/>
    <w:rsid w:val="00D24D66"/>
    <w:rsid w:val="00D2720F"/>
    <w:rsid w:val="00D321CE"/>
    <w:rsid w:val="00D705FA"/>
    <w:rsid w:val="00D70666"/>
    <w:rsid w:val="00D7410B"/>
    <w:rsid w:val="00DC5835"/>
    <w:rsid w:val="00DE0D23"/>
    <w:rsid w:val="00DE43FD"/>
    <w:rsid w:val="00E264B8"/>
    <w:rsid w:val="00E35FCD"/>
    <w:rsid w:val="00E459A5"/>
    <w:rsid w:val="00E50CFD"/>
    <w:rsid w:val="00E55827"/>
    <w:rsid w:val="00E6208E"/>
    <w:rsid w:val="00E6353A"/>
    <w:rsid w:val="00E64C0E"/>
    <w:rsid w:val="00E65392"/>
    <w:rsid w:val="00EA0378"/>
    <w:rsid w:val="00EB2716"/>
    <w:rsid w:val="00EC01B5"/>
    <w:rsid w:val="00ED01F1"/>
    <w:rsid w:val="00ED23D0"/>
    <w:rsid w:val="00F36FB2"/>
    <w:rsid w:val="00F46053"/>
    <w:rsid w:val="00F55529"/>
    <w:rsid w:val="00F60E74"/>
    <w:rsid w:val="00F61CBB"/>
    <w:rsid w:val="00F65043"/>
    <w:rsid w:val="00F66E9C"/>
    <w:rsid w:val="00F92719"/>
    <w:rsid w:val="00FA0196"/>
    <w:rsid w:val="00FA2302"/>
    <w:rsid w:val="00FB521A"/>
    <w:rsid w:val="00FC3DE9"/>
    <w:rsid w:val="00FD1AD4"/>
    <w:rsid w:val="00FE0781"/>
    <w:rsid w:val="00FE3497"/>
    <w:rsid w:val="00FE57DB"/>
    <w:rsid w:val="00FF7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3D52C"/>
  <w15:chartTrackingRefBased/>
  <w15:docId w15:val="{F1EB3ACB-9B56-F144-8490-EF40CD3D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951"/>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41F5"/>
    <w:pPr>
      <w:tabs>
        <w:tab w:val="center" w:pos="4536"/>
        <w:tab w:val="right" w:pos="9072"/>
      </w:tabs>
    </w:pPr>
  </w:style>
  <w:style w:type="character" w:customStyle="1" w:styleId="KoptekstChar">
    <w:name w:val="Koptekst Char"/>
    <w:basedOn w:val="Standaardalinea-lettertype"/>
    <w:link w:val="Koptekst"/>
    <w:uiPriority w:val="99"/>
    <w:rsid w:val="009D41F5"/>
  </w:style>
  <w:style w:type="paragraph" w:styleId="Voettekst">
    <w:name w:val="footer"/>
    <w:basedOn w:val="Standaard"/>
    <w:link w:val="VoettekstChar"/>
    <w:uiPriority w:val="99"/>
    <w:unhideWhenUsed/>
    <w:rsid w:val="009D41F5"/>
    <w:pPr>
      <w:tabs>
        <w:tab w:val="center" w:pos="4536"/>
        <w:tab w:val="right" w:pos="9072"/>
      </w:tabs>
    </w:pPr>
  </w:style>
  <w:style w:type="character" w:customStyle="1" w:styleId="VoettekstChar">
    <w:name w:val="Voettekst Char"/>
    <w:basedOn w:val="Standaardalinea-lettertype"/>
    <w:link w:val="Voettekst"/>
    <w:uiPriority w:val="99"/>
    <w:rsid w:val="009D41F5"/>
  </w:style>
  <w:style w:type="paragraph" w:styleId="Ballontekst">
    <w:name w:val="Balloon Text"/>
    <w:basedOn w:val="Standaard"/>
    <w:link w:val="BallontekstChar"/>
    <w:uiPriority w:val="99"/>
    <w:semiHidden/>
    <w:unhideWhenUsed/>
    <w:rsid w:val="009D41F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D41F5"/>
    <w:rPr>
      <w:rFonts w:ascii="Times New Roman" w:hAnsi="Times New Roman" w:cs="Times New Roman"/>
      <w:sz w:val="18"/>
      <w:szCs w:val="18"/>
    </w:rPr>
  </w:style>
  <w:style w:type="paragraph" w:styleId="Normaalweb">
    <w:name w:val="Normal (Web)"/>
    <w:basedOn w:val="Standaard"/>
    <w:uiPriority w:val="99"/>
    <w:unhideWhenUsed/>
    <w:rsid w:val="009D41F5"/>
    <w:pPr>
      <w:spacing w:before="100" w:beforeAutospacing="1" w:after="100" w:afterAutospacing="1"/>
    </w:pPr>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5B4D5F"/>
  </w:style>
  <w:style w:type="table" w:styleId="Tabelraster">
    <w:name w:val="Table Grid"/>
    <w:basedOn w:val="Standaardtabel"/>
    <w:uiPriority w:val="39"/>
    <w:rsid w:val="005B113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643C8"/>
    <w:rPr>
      <w:color w:val="6E2F7B" w:themeColor="hyperlink"/>
      <w:u w:val="single"/>
    </w:rPr>
  </w:style>
  <w:style w:type="character" w:styleId="Onopgelostemelding">
    <w:name w:val="Unresolved Mention"/>
    <w:basedOn w:val="Standaardalinea-lettertype"/>
    <w:uiPriority w:val="99"/>
    <w:semiHidden/>
    <w:unhideWhenUsed/>
    <w:rsid w:val="009643C8"/>
    <w:rPr>
      <w:color w:val="605E5C"/>
      <w:shd w:val="clear" w:color="auto" w:fill="E1DFDD"/>
    </w:rPr>
  </w:style>
  <w:style w:type="paragraph" w:styleId="Lijstalinea">
    <w:name w:val="List Paragraph"/>
    <w:basedOn w:val="Standaard"/>
    <w:uiPriority w:val="34"/>
    <w:qFormat/>
    <w:rsid w:val="00527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08">
      <w:bodyDiv w:val="1"/>
      <w:marLeft w:val="0"/>
      <w:marRight w:val="0"/>
      <w:marTop w:val="0"/>
      <w:marBottom w:val="0"/>
      <w:divBdr>
        <w:top w:val="none" w:sz="0" w:space="0" w:color="auto"/>
        <w:left w:val="none" w:sz="0" w:space="0" w:color="auto"/>
        <w:bottom w:val="none" w:sz="0" w:space="0" w:color="auto"/>
        <w:right w:val="none" w:sz="0" w:space="0" w:color="auto"/>
      </w:divBdr>
    </w:div>
    <w:div w:id="36125076">
      <w:bodyDiv w:val="1"/>
      <w:marLeft w:val="0"/>
      <w:marRight w:val="0"/>
      <w:marTop w:val="0"/>
      <w:marBottom w:val="0"/>
      <w:divBdr>
        <w:top w:val="none" w:sz="0" w:space="0" w:color="auto"/>
        <w:left w:val="none" w:sz="0" w:space="0" w:color="auto"/>
        <w:bottom w:val="none" w:sz="0" w:space="0" w:color="auto"/>
        <w:right w:val="none" w:sz="0" w:space="0" w:color="auto"/>
      </w:divBdr>
    </w:div>
    <w:div w:id="146677946">
      <w:bodyDiv w:val="1"/>
      <w:marLeft w:val="0"/>
      <w:marRight w:val="0"/>
      <w:marTop w:val="0"/>
      <w:marBottom w:val="0"/>
      <w:divBdr>
        <w:top w:val="none" w:sz="0" w:space="0" w:color="auto"/>
        <w:left w:val="none" w:sz="0" w:space="0" w:color="auto"/>
        <w:bottom w:val="none" w:sz="0" w:space="0" w:color="auto"/>
        <w:right w:val="none" w:sz="0" w:space="0" w:color="auto"/>
      </w:divBdr>
    </w:div>
    <w:div w:id="184252112">
      <w:bodyDiv w:val="1"/>
      <w:marLeft w:val="0"/>
      <w:marRight w:val="0"/>
      <w:marTop w:val="0"/>
      <w:marBottom w:val="0"/>
      <w:divBdr>
        <w:top w:val="none" w:sz="0" w:space="0" w:color="auto"/>
        <w:left w:val="none" w:sz="0" w:space="0" w:color="auto"/>
        <w:bottom w:val="none" w:sz="0" w:space="0" w:color="auto"/>
        <w:right w:val="none" w:sz="0" w:space="0" w:color="auto"/>
      </w:divBdr>
    </w:div>
    <w:div w:id="369959165">
      <w:bodyDiv w:val="1"/>
      <w:marLeft w:val="0"/>
      <w:marRight w:val="0"/>
      <w:marTop w:val="0"/>
      <w:marBottom w:val="0"/>
      <w:divBdr>
        <w:top w:val="none" w:sz="0" w:space="0" w:color="auto"/>
        <w:left w:val="none" w:sz="0" w:space="0" w:color="auto"/>
        <w:bottom w:val="none" w:sz="0" w:space="0" w:color="auto"/>
        <w:right w:val="none" w:sz="0" w:space="0" w:color="auto"/>
      </w:divBdr>
    </w:div>
    <w:div w:id="398596790">
      <w:bodyDiv w:val="1"/>
      <w:marLeft w:val="0"/>
      <w:marRight w:val="0"/>
      <w:marTop w:val="0"/>
      <w:marBottom w:val="0"/>
      <w:divBdr>
        <w:top w:val="none" w:sz="0" w:space="0" w:color="auto"/>
        <w:left w:val="none" w:sz="0" w:space="0" w:color="auto"/>
        <w:bottom w:val="none" w:sz="0" w:space="0" w:color="auto"/>
        <w:right w:val="none" w:sz="0" w:space="0" w:color="auto"/>
      </w:divBdr>
    </w:div>
    <w:div w:id="472021193">
      <w:bodyDiv w:val="1"/>
      <w:marLeft w:val="0"/>
      <w:marRight w:val="0"/>
      <w:marTop w:val="0"/>
      <w:marBottom w:val="0"/>
      <w:divBdr>
        <w:top w:val="none" w:sz="0" w:space="0" w:color="auto"/>
        <w:left w:val="none" w:sz="0" w:space="0" w:color="auto"/>
        <w:bottom w:val="none" w:sz="0" w:space="0" w:color="auto"/>
        <w:right w:val="none" w:sz="0" w:space="0" w:color="auto"/>
      </w:divBdr>
    </w:div>
    <w:div w:id="504784509">
      <w:bodyDiv w:val="1"/>
      <w:marLeft w:val="0"/>
      <w:marRight w:val="0"/>
      <w:marTop w:val="0"/>
      <w:marBottom w:val="0"/>
      <w:divBdr>
        <w:top w:val="none" w:sz="0" w:space="0" w:color="auto"/>
        <w:left w:val="none" w:sz="0" w:space="0" w:color="auto"/>
        <w:bottom w:val="none" w:sz="0" w:space="0" w:color="auto"/>
        <w:right w:val="none" w:sz="0" w:space="0" w:color="auto"/>
      </w:divBdr>
    </w:div>
    <w:div w:id="520166256">
      <w:bodyDiv w:val="1"/>
      <w:marLeft w:val="0"/>
      <w:marRight w:val="0"/>
      <w:marTop w:val="0"/>
      <w:marBottom w:val="0"/>
      <w:divBdr>
        <w:top w:val="none" w:sz="0" w:space="0" w:color="auto"/>
        <w:left w:val="none" w:sz="0" w:space="0" w:color="auto"/>
        <w:bottom w:val="none" w:sz="0" w:space="0" w:color="auto"/>
        <w:right w:val="none" w:sz="0" w:space="0" w:color="auto"/>
      </w:divBdr>
    </w:div>
    <w:div w:id="556867408">
      <w:bodyDiv w:val="1"/>
      <w:marLeft w:val="0"/>
      <w:marRight w:val="0"/>
      <w:marTop w:val="0"/>
      <w:marBottom w:val="0"/>
      <w:divBdr>
        <w:top w:val="none" w:sz="0" w:space="0" w:color="auto"/>
        <w:left w:val="none" w:sz="0" w:space="0" w:color="auto"/>
        <w:bottom w:val="none" w:sz="0" w:space="0" w:color="auto"/>
        <w:right w:val="none" w:sz="0" w:space="0" w:color="auto"/>
      </w:divBdr>
    </w:div>
    <w:div w:id="626740498">
      <w:bodyDiv w:val="1"/>
      <w:marLeft w:val="0"/>
      <w:marRight w:val="0"/>
      <w:marTop w:val="0"/>
      <w:marBottom w:val="0"/>
      <w:divBdr>
        <w:top w:val="none" w:sz="0" w:space="0" w:color="auto"/>
        <w:left w:val="none" w:sz="0" w:space="0" w:color="auto"/>
        <w:bottom w:val="none" w:sz="0" w:space="0" w:color="auto"/>
        <w:right w:val="none" w:sz="0" w:space="0" w:color="auto"/>
      </w:divBdr>
    </w:div>
    <w:div w:id="636492990">
      <w:bodyDiv w:val="1"/>
      <w:marLeft w:val="0"/>
      <w:marRight w:val="0"/>
      <w:marTop w:val="0"/>
      <w:marBottom w:val="0"/>
      <w:divBdr>
        <w:top w:val="none" w:sz="0" w:space="0" w:color="auto"/>
        <w:left w:val="none" w:sz="0" w:space="0" w:color="auto"/>
        <w:bottom w:val="none" w:sz="0" w:space="0" w:color="auto"/>
        <w:right w:val="none" w:sz="0" w:space="0" w:color="auto"/>
      </w:divBdr>
    </w:div>
    <w:div w:id="662972934">
      <w:bodyDiv w:val="1"/>
      <w:marLeft w:val="0"/>
      <w:marRight w:val="0"/>
      <w:marTop w:val="0"/>
      <w:marBottom w:val="0"/>
      <w:divBdr>
        <w:top w:val="none" w:sz="0" w:space="0" w:color="auto"/>
        <w:left w:val="none" w:sz="0" w:space="0" w:color="auto"/>
        <w:bottom w:val="none" w:sz="0" w:space="0" w:color="auto"/>
        <w:right w:val="none" w:sz="0" w:space="0" w:color="auto"/>
      </w:divBdr>
    </w:div>
    <w:div w:id="717513595">
      <w:bodyDiv w:val="1"/>
      <w:marLeft w:val="0"/>
      <w:marRight w:val="0"/>
      <w:marTop w:val="0"/>
      <w:marBottom w:val="0"/>
      <w:divBdr>
        <w:top w:val="none" w:sz="0" w:space="0" w:color="auto"/>
        <w:left w:val="none" w:sz="0" w:space="0" w:color="auto"/>
        <w:bottom w:val="none" w:sz="0" w:space="0" w:color="auto"/>
        <w:right w:val="none" w:sz="0" w:space="0" w:color="auto"/>
      </w:divBdr>
    </w:div>
    <w:div w:id="783815045">
      <w:bodyDiv w:val="1"/>
      <w:marLeft w:val="0"/>
      <w:marRight w:val="0"/>
      <w:marTop w:val="0"/>
      <w:marBottom w:val="0"/>
      <w:divBdr>
        <w:top w:val="none" w:sz="0" w:space="0" w:color="auto"/>
        <w:left w:val="none" w:sz="0" w:space="0" w:color="auto"/>
        <w:bottom w:val="none" w:sz="0" w:space="0" w:color="auto"/>
        <w:right w:val="none" w:sz="0" w:space="0" w:color="auto"/>
      </w:divBdr>
    </w:div>
    <w:div w:id="880165625">
      <w:bodyDiv w:val="1"/>
      <w:marLeft w:val="0"/>
      <w:marRight w:val="0"/>
      <w:marTop w:val="0"/>
      <w:marBottom w:val="0"/>
      <w:divBdr>
        <w:top w:val="none" w:sz="0" w:space="0" w:color="auto"/>
        <w:left w:val="none" w:sz="0" w:space="0" w:color="auto"/>
        <w:bottom w:val="none" w:sz="0" w:space="0" w:color="auto"/>
        <w:right w:val="none" w:sz="0" w:space="0" w:color="auto"/>
      </w:divBdr>
    </w:div>
    <w:div w:id="944771394">
      <w:bodyDiv w:val="1"/>
      <w:marLeft w:val="0"/>
      <w:marRight w:val="0"/>
      <w:marTop w:val="0"/>
      <w:marBottom w:val="0"/>
      <w:divBdr>
        <w:top w:val="none" w:sz="0" w:space="0" w:color="auto"/>
        <w:left w:val="none" w:sz="0" w:space="0" w:color="auto"/>
        <w:bottom w:val="none" w:sz="0" w:space="0" w:color="auto"/>
        <w:right w:val="none" w:sz="0" w:space="0" w:color="auto"/>
      </w:divBdr>
    </w:div>
    <w:div w:id="964769466">
      <w:bodyDiv w:val="1"/>
      <w:marLeft w:val="0"/>
      <w:marRight w:val="0"/>
      <w:marTop w:val="0"/>
      <w:marBottom w:val="0"/>
      <w:divBdr>
        <w:top w:val="none" w:sz="0" w:space="0" w:color="auto"/>
        <w:left w:val="none" w:sz="0" w:space="0" w:color="auto"/>
        <w:bottom w:val="none" w:sz="0" w:space="0" w:color="auto"/>
        <w:right w:val="none" w:sz="0" w:space="0" w:color="auto"/>
      </w:divBdr>
    </w:div>
    <w:div w:id="998342235">
      <w:bodyDiv w:val="1"/>
      <w:marLeft w:val="0"/>
      <w:marRight w:val="0"/>
      <w:marTop w:val="0"/>
      <w:marBottom w:val="0"/>
      <w:divBdr>
        <w:top w:val="none" w:sz="0" w:space="0" w:color="auto"/>
        <w:left w:val="none" w:sz="0" w:space="0" w:color="auto"/>
        <w:bottom w:val="none" w:sz="0" w:space="0" w:color="auto"/>
        <w:right w:val="none" w:sz="0" w:space="0" w:color="auto"/>
      </w:divBdr>
    </w:div>
    <w:div w:id="1020013816">
      <w:bodyDiv w:val="1"/>
      <w:marLeft w:val="0"/>
      <w:marRight w:val="0"/>
      <w:marTop w:val="0"/>
      <w:marBottom w:val="0"/>
      <w:divBdr>
        <w:top w:val="none" w:sz="0" w:space="0" w:color="auto"/>
        <w:left w:val="none" w:sz="0" w:space="0" w:color="auto"/>
        <w:bottom w:val="none" w:sz="0" w:space="0" w:color="auto"/>
        <w:right w:val="none" w:sz="0" w:space="0" w:color="auto"/>
      </w:divBdr>
    </w:div>
    <w:div w:id="1138691027">
      <w:bodyDiv w:val="1"/>
      <w:marLeft w:val="0"/>
      <w:marRight w:val="0"/>
      <w:marTop w:val="0"/>
      <w:marBottom w:val="0"/>
      <w:divBdr>
        <w:top w:val="none" w:sz="0" w:space="0" w:color="auto"/>
        <w:left w:val="none" w:sz="0" w:space="0" w:color="auto"/>
        <w:bottom w:val="none" w:sz="0" w:space="0" w:color="auto"/>
        <w:right w:val="none" w:sz="0" w:space="0" w:color="auto"/>
      </w:divBdr>
    </w:div>
    <w:div w:id="1232931648">
      <w:bodyDiv w:val="1"/>
      <w:marLeft w:val="0"/>
      <w:marRight w:val="0"/>
      <w:marTop w:val="0"/>
      <w:marBottom w:val="0"/>
      <w:divBdr>
        <w:top w:val="none" w:sz="0" w:space="0" w:color="auto"/>
        <w:left w:val="none" w:sz="0" w:space="0" w:color="auto"/>
        <w:bottom w:val="none" w:sz="0" w:space="0" w:color="auto"/>
        <w:right w:val="none" w:sz="0" w:space="0" w:color="auto"/>
      </w:divBdr>
    </w:div>
    <w:div w:id="1288779539">
      <w:bodyDiv w:val="1"/>
      <w:marLeft w:val="0"/>
      <w:marRight w:val="0"/>
      <w:marTop w:val="0"/>
      <w:marBottom w:val="0"/>
      <w:divBdr>
        <w:top w:val="none" w:sz="0" w:space="0" w:color="auto"/>
        <w:left w:val="none" w:sz="0" w:space="0" w:color="auto"/>
        <w:bottom w:val="none" w:sz="0" w:space="0" w:color="auto"/>
        <w:right w:val="none" w:sz="0" w:space="0" w:color="auto"/>
      </w:divBdr>
    </w:div>
    <w:div w:id="1303463516">
      <w:bodyDiv w:val="1"/>
      <w:marLeft w:val="0"/>
      <w:marRight w:val="0"/>
      <w:marTop w:val="0"/>
      <w:marBottom w:val="0"/>
      <w:divBdr>
        <w:top w:val="none" w:sz="0" w:space="0" w:color="auto"/>
        <w:left w:val="none" w:sz="0" w:space="0" w:color="auto"/>
        <w:bottom w:val="none" w:sz="0" w:space="0" w:color="auto"/>
        <w:right w:val="none" w:sz="0" w:space="0" w:color="auto"/>
      </w:divBdr>
    </w:div>
    <w:div w:id="1445536588">
      <w:bodyDiv w:val="1"/>
      <w:marLeft w:val="0"/>
      <w:marRight w:val="0"/>
      <w:marTop w:val="0"/>
      <w:marBottom w:val="0"/>
      <w:divBdr>
        <w:top w:val="none" w:sz="0" w:space="0" w:color="auto"/>
        <w:left w:val="none" w:sz="0" w:space="0" w:color="auto"/>
        <w:bottom w:val="none" w:sz="0" w:space="0" w:color="auto"/>
        <w:right w:val="none" w:sz="0" w:space="0" w:color="auto"/>
      </w:divBdr>
    </w:div>
    <w:div w:id="1478842978">
      <w:bodyDiv w:val="1"/>
      <w:marLeft w:val="0"/>
      <w:marRight w:val="0"/>
      <w:marTop w:val="0"/>
      <w:marBottom w:val="0"/>
      <w:divBdr>
        <w:top w:val="none" w:sz="0" w:space="0" w:color="auto"/>
        <w:left w:val="none" w:sz="0" w:space="0" w:color="auto"/>
        <w:bottom w:val="none" w:sz="0" w:space="0" w:color="auto"/>
        <w:right w:val="none" w:sz="0" w:space="0" w:color="auto"/>
      </w:divBdr>
    </w:div>
    <w:div w:id="1646859541">
      <w:bodyDiv w:val="1"/>
      <w:marLeft w:val="0"/>
      <w:marRight w:val="0"/>
      <w:marTop w:val="0"/>
      <w:marBottom w:val="0"/>
      <w:divBdr>
        <w:top w:val="none" w:sz="0" w:space="0" w:color="auto"/>
        <w:left w:val="none" w:sz="0" w:space="0" w:color="auto"/>
        <w:bottom w:val="none" w:sz="0" w:space="0" w:color="auto"/>
        <w:right w:val="none" w:sz="0" w:space="0" w:color="auto"/>
      </w:divBdr>
    </w:div>
    <w:div w:id="1677264904">
      <w:bodyDiv w:val="1"/>
      <w:marLeft w:val="0"/>
      <w:marRight w:val="0"/>
      <w:marTop w:val="0"/>
      <w:marBottom w:val="0"/>
      <w:divBdr>
        <w:top w:val="none" w:sz="0" w:space="0" w:color="auto"/>
        <w:left w:val="none" w:sz="0" w:space="0" w:color="auto"/>
        <w:bottom w:val="none" w:sz="0" w:space="0" w:color="auto"/>
        <w:right w:val="none" w:sz="0" w:space="0" w:color="auto"/>
      </w:divBdr>
    </w:div>
    <w:div w:id="1689135754">
      <w:bodyDiv w:val="1"/>
      <w:marLeft w:val="0"/>
      <w:marRight w:val="0"/>
      <w:marTop w:val="0"/>
      <w:marBottom w:val="0"/>
      <w:divBdr>
        <w:top w:val="none" w:sz="0" w:space="0" w:color="auto"/>
        <w:left w:val="none" w:sz="0" w:space="0" w:color="auto"/>
        <w:bottom w:val="none" w:sz="0" w:space="0" w:color="auto"/>
        <w:right w:val="none" w:sz="0" w:space="0" w:color="auto"/>
      </w:divBdr>
    </w:div>
    <w:div w:id="1716584795">
      <w:bodyDiv w:val="1"/>
      <w:marLeft w:val="0"/>
      <w:marRight w:val="0"/>
      <w:marTop w:val="0"/>
      <w:marBottom w:val="0"/>
      <w:divBdr>
        <w:top w:val="none" w:sz="0" w:space="0" w:color="auto"/>
        <w:left w:val="none" w:sz="0" w:space="0" w:color="auto"/>
        <w:bottom w:val="none" w:sz="0" w:space="0" w:color="auto"/>
        <w:right w:val="none" w:sz="0" w:space="0" w:color="auto"/>
      </w:divBdr>
    </w:div>
    <w:div w:id="1764763165">
      <w:bodyDiv w:val="1"/>
      <w:marLeft w:val="0"/>
      <w:marRight w:val="0"/>
      <w:marTop w:val="0"/>
      <w:marBottom w:val="0"/>
      <w:divBdr>
        <w:top w:val="none" w:sz="0" w:space="0" w:color="auto"/>
        <w:left w:val="none" w:sz="0" w:space="0" w:color="auto"/>
        <w:bottom w:val="none" w:sz="0" w:space="0" w:color="auto"/>
        <w:right w:val="none" w:sz="0" w:space="0" w:color="auto"/>
      </w:divBdr>
    </w:div>
    <w:div w:id="1785077625">
      <w:bodyDiv w:val="1"/>
      <w:marLeft w:val="0"/>
      <w:marRight w:val="0"/>
      <w:marTop w:val="0"/>
      <w:marBottom w:val="0"/>
      <w:divBdr>
        <w:top w:val="none" w:sz="0" w:space="0" w:color="auto"/>
        <w:left w:val="none" w:sz="0" w:space="0" w:color="auto"/>
        <w:bottom w:val="none" w:sz="0" w:space="0" w:color="auto"/>
        <w:right w:val="none" w:sz="0" w:space="0" w:color="auto"/>
      </w:divBdr>
    </w:div>
    <w:div w:id="1806701599">
      <w:bodyDiv w:val="1"/>
      <w:marLeft w:val="0"/>
      <w:marRight w:val="0"/>
      <w:marTop w:val="0"/>
      <w:marBottom w:val="0"/>
      <w:divBdr>
        <w:top w:val="none" w:sz="0" w:space="0" w:color="auto"/>
        <w:left w:val="none" w:sz="0" w:space="0" w:color="auto"/>
        <w:bottom w:val="none" w:sz="0" w:space="0" w:color="auto"/>
        <w:right w:val="none" w:sz="0" w:space="0" w:color="auto"/>
      </w:divBdr>
    </w:div>
    <w:div w:id="1814176354">
      <w:bodyDiv w:val="1"/>
      <w:marLeft w:val="0"/>
      <w:marRight w:val="0"/>
      <w:marTop w:val="0"/>
      <w:marBottom w:val="0"/>
      <w:divBdr>
        <w:top w:val="none" w:sz="0" w:space="0" w:color="auto"/>
        <w:left w:val="none" w:sz="0" w:space="0" w:color="auto"/>
        <w:bottom w:val="none" w:sz="0" w:space="0" w:color="auto"/>
        <w:right w:val="none" w:sz="0" w:space="0" w:color="auto"/>
      </w:divBdr>
    </w:div>
    <w:div w:id="1968310792">
      <w:bodyDiv w:val="1"/>
      <w:marLeft w:val="0"/>
      <w:marRight w:val="0"/>
      <w:marTop w:val="0"/>
      <w:marBottom w:val="0"/>
      <w:divBdr>
        <w:top w:val="none" w:sz="0" w:space="0" w:color="auto"/>
        <w:left w:val="none" w:sz="0" w:space="0" w:color="auto"/>
        <w:bottom w:val="none" w:sz="0" w:space="0" w:color="auto"/>
        <w:right w:val="none" w:sz="0" w:space="0" w:color="auto"/>
      </w:divBdr>
    </w:div>
    <w:div w:id="2118134975">
      <w:bodyDiv w:val="1"/>
      <w:marLeft w:val="0"/>
      <w:marRight w:val="0"/>
      <w:marTop w:val="0"/>
      <w:marBottom w:val="0"/>
      <w:divBdr>
        <w:top w:val="none" w:sz="0" w:space="0" w:color="auto"/>
        <w:left w:val="none" w:sz="0" w:space="0" w:color="auto"/>
        <w:bottom w:val="none" w:sz="0" w:space="0" w:color="auto"/>
        <w:right w:val="none" w:sz="0" w:space="0" w:color="auto"/>
      </w:divBdr>
    </w:div>
    <w:div w:id="21248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HTML/?uri=CELEX:32022R255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xtranet.eba.europa.eu/sites/default/documents/files/documents/10180/2551996/38c80601-f5d7-4855-8ba3-702423665479/EBA%20revised%20Guidelines%20on%20outsourcing%20arrangements.pdf?retry=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A32013L003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Finnick">
  <a:themeElements>
    <a:clrScheme name="Finnick Kleurenpallet">
      <a:dk1>
        <a:srgbClr val="020909"/>
      </a:dk1>
      <a:lt1>
        <a:srgbClr val="FFFFFF"/>
      </a:lt1>
      <a:dk2>
        <a:srgbClr val="44546A"/>
      </a:dk2>
      <a:lt2>
        <a:srgbClr val="E7E6E6"/>
      </a:lt2>
      <a:accent1>
        <a:srgbClr val="6F2F7B"/>
      </a:accent1>
      <a:accent2>
        <a:srgbClr val="E45E78"/>
      </a:accent2>
      <a:accent3>
        <a:srgbClr val="FFCF53"/>
      </a:accent3>
      <a:accent4>
        <a:srgbClr val="00ADBA"/>
      </a:accent4>
      <a:accent5>
        <a:srgbClr val="00A070"/>
      </a:accent5>
      <a:accent6>
        <a:srgbClr val="FFFFFF"/>
      </a:accent6>
      <a:hlink>
        <a:srgbClr val="6E2F7B"/>
      </a:hlink>
      <a:folHlink>
        <a:srgbClr val="00A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nick" id="{FFF313F1-AA96-7249-A12C-A23C95DBEA31}" vid="{56F0CF84-CEB9-9042-AED3-03C4BFB6A1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S Document" ma:contentTypeID="0x010100EBECF21652D3554896B25DCA7CAB5D70005FA1A5C94F08674E9A6E2F76A73D4608" ma:contentTypeVersion="18" ma:contentTypeDescription="Een nieuw document maken." ma:contentTypeScope="" ma:versionID="e0b4037a87aa6b152aa7d3256a167b96">
  <xsd:schema xmlns:xsd="http://www.w3.org/2001/XMLSchema" xmlns:xs="http://www.w3.org/2001/XMLSchema" xmlns:p="http://schemas.microsoft.com/office/2006/metadata/properties" xmlns:ns1="a7b3eddd-acf4-440d-9085-35e192ef54ca" xmlns:ns3="bbe170a0-03e9-428e-bd02-f0d1ec22e259" targetNamespace="http://schemas.microsoft.com/office/2006/metadata/properties" ma:root="true" ma:fieldsID="4055c529022d44e368329c6c62081ba8" ns1:_="" ns3:_="">
    <xsd:import namespace="a7b3eddd-acf4-440d-9085-35e192ef54ca"/>
    <xsd:import namespace="bbe170a0-03e9-428e-bd02-f0d1ec22e259"/>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ExtranetURL" minOccurs="0"/>
                <xsd:element ref="ns1:_dlc_DocId" minOccurs="0"/>
                <xsd:element ref="ns1:_dlc_DocIdUrl" minOccurs="0"/>
                <xsd:element ref="ns1:_dlc_DocIdPersistId" minOccurs="0"/>
                <xsd:element ref="ns1:bc244158b8df4ae18d1c39cfd44a2881" minOccurs="0"/>
                <xsd:element ref="ns3:MediaServiceMetadata" minOccurs="0"/>
                <xsd:element ref="ns3:MediaServiceFastMetadata" minOccurs="0"/>
                <xsd:element ref="ns3:lcf76f155ced4ddcb4097134ff3c332f" minOccurs="0"/>
                <xsd:element ref="ns1: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3eddd-acf4-440d-9085-35e192ef54ca" elementFormDefault="qualified">
    <xsd:import namespace="http://schemas.microsoft.com/office/2006/documentManagement/types"/>
    <xsd:import namespace="http://schemas.microsoft.com/office/infopath/2007/PartnerControls"/>
    <xsd:element name="ClientCode" ma:index="0" nillable="true" ma:displayName="ClientCode" ma:default="1002" ma:internalName="ClientCode">
      <xsd:simpleType>
        <xsd:restriction base="dms:Text"/>
      </xsd:simpleType>
    </xsd:element>
    <xsd:element name="ClientName" ma:index="2" nillable="true" ma:displayName="ClientName" ma:default="Finnick Legal" ma:internalName="ClientName">
      <xsd:simpleType>
        <xsd:restriction base="dms:Text"/>
      </xsd:simpleType>
    </xsd:element>
    <xsd:element name="MatterCode" ma:index="3" nillable="true" ma:displayName="MatterCode" ma:default="2022-000186" ma:internalName="MatterCode">
      <xsd:simpleType>
        <xsd:restriction base="dms:Text"/>
      </xsd:simpleType>
    </xsd:element>
    <xsd:element name="MatterName" ma:index="4" nillable="true" ma:displayName="MatterName" ma:default="Marketing" ma:internalName="MatterName">
      <xsd:simpleType>
        <xsd:restriction base="dms:Text"/>
      </xsd:simpleType>
    </xsd:element>
    <xsd:element name="ExtranetURL" ma:index="5" nillable="true" ma:displayName="ExtranetURL" ma:internalName="ExtranetURL">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bc244158b8df4ae18d1c39cfd44a2881" ma:index="16" nillable="true" ma:taxonomy="true" ma:internalName="bc244158b8df4ae18d1c39cfd44a2881" ma:taxonomyFieldName="MatterType" ma:displayName="MatterType" ma:default="-1;#Private|2a84c3ed-6f46-4340-9cb1-c2d209da8e0a" ma:fieldId="{bc244158-b8df-4ae1-8d1c-39cfd44a2881}" ma:sspId="a8fd7dc2-d039-450a-ac9e-77bf5e5070b3" ma:termSetId="46ca2fdc-8885-44ac-bea3-4e54bec8458d"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ff24fd3-00b6-4048-868a-8c916b13d22b}" ma:internalName="TaxCatchAll" ma:showField="CatchAllData" ma:web="a7b3eddd-acf4-440d-9085-35e192ef54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e170a0-03e9-428e-bd02-f0d1ec22e2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8fd7dc2-d039-450a-ac9e-77bf5e5070b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lientCode xmlns="a7b3eddd-acf4-440d-9085-35e192ef54ca">1002</ClientCode>
    <ClientName xmlns="a7b3eddd-acf4-440d-9085-35e192ef54ca">Finnick Legal</ClientName>
    <MatterCode xmlns="a7b3eddd-acf4-440d-9085-35e192ef54ca">2022-000186</MatterCode>
    <MatterName xmlns="a7b3eddd-acf4-440d-9085-35e192ef54ca">Marketing</MatterName>
    <ExtranetURL xmlns="a7b3eddd-acf4-440d-9085-35e192ef54ca" xsi:nil="true"/>
    <TaxCatchAll xmlns="a7b3eddd-acf4-440d-9085-35e192ef54ca">
      <Value>1</Value>
    </TaxCatchAll>
    <bc244158b8df4ae18d1c39cfd44a2881 xmlns="a7b3eddd-acf4-440d-9085-35e192ef54ca">
      <Terms xmlns="http://schemas.microsoft.com/office/infopath/2007/PartnerControls">
        <TermInfo xmlns="http://schemas.microsoft.com/office/infopath/2007/PartnerControls">
          <TermName xmlns="http://schemas.microsoft.com/office/infopath/2007/PartnerControls">Private</TermName>
          <TermId xmlns="http://schemas.microsoft.com/office/infopath/2007/PartnerControls">2a84c3ed-6f46-4340-9cb1-c2d209da8e0a</TermId>
        </TermInfo>
      </Terms>
    </bc244158b8df4ae18d1c39cfd44a2881>
    <_dlc_DocId xmlns="a7b3eddd-acf4-440d-9085-35e192ef54ca">DMS2022-000186-2140309757-494</_dlc_DocId>
    <_dlc_DocIdUrl xmlns="a7b3eddd-acf4-440d-9085-35e192ef54ca">
      <Url>https://mrfintech.sharepoint.com/sites/DMS2022-000186/_layouts/15/DocIdRedir.aspx?ID=DMS2022-000186-2140309757-494</Url>
      <Description>DMS2022-000186-2140309757-494</Description>
    </_dlc_DocIdUrl>
    <lcf76f155ced4ddcb4097134ff3c332f xmlns="bbe170a0-03e9-428e-bd02-f0d1ec22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9A46F8-8317-40C8-A044-BE0AAE2955CD}">
  <ds:schemaRefs>
    <ds:schemaRef ds:uri="http://schemas.microsoft.com/sharepoint/v3/contenttype/forms"/>
  </ds:schemaRefs>
</ds:datastoreItem>
</file>

<file path=customXml/itemProps2.xml><?xml version="1.0" encoding="utf-8"?>
<ds:datastoreItem xmlns:ds="http://schemas.openxmlformats.org/officeDocument/2006/customXml" ds:itemID="{98374048-0B3D-4256-9BAC-B8E832EA8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3eddd-acf4-440d-9085-35e192ef54ca"/>
    <ds:schemaRef ds:uri="bbe170a0-03e9-428e-bd02-f0d1ec22e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EAA1C-93F1-4144-B06D-8A69B54F39D0}">
  <ds:schemaRefs>
    <ds:schemaRef ds:uri="http://schemas.openxmlformats.org/officeDocument/2006/bibliography"/>
  </ds:schemaRefs>
</ds:datastoreItem>
</file>

<file path=customXml/itemProps4.xml><?xml version="1.0" encoding="utf-8"?>
<ds:datastoreItem xmlns:ds="http://schemas.openxmlformats.org/officeDocument/2006/customXml" ds:itemID="{3DDE1E08-3487-48A6-8B70-6BBA70F859AA}">
  <ds:schemaRefs>
    <ds:schemaRef ds:uri="http://schemas.microsoft.com/sharepoint/events"/>
  </ds:schemaRefs>
</ds:datastoreItem>
</file>

<file path=customXml/itemProps5.xml><?xml version="1.0" encoding="utf-8"?>
<ds:datastoreItem xmlns:ds="http://schemas.openxmlformats.org/officeDocument/2006/customXml" ds:itemID="{C0986EC2-40EF-4144-AFC2-0605FB10B771}">
  <ds:schemaRefs>
    <ds:schemaRef ds:uri="http://schemas.microsoft.com/office/2006/metadata/properties"/>
    <ds:schemaRef ds:uri="http://schemas.microsoft.com/office/infopath/2007/PartnerControls"/>
    <ds:schemaRef ds:uri="a7b3eddd-acf4-440d-9085-35e192ef54ca"/>
    <ds:schemaRef ds:uri="bbe170a0-03e9-428e-bd02-f0d1ec22e25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2518</Words>
  <Characters>16197</Characters>
  <Application>Microsoft Office Word</Application>
  <DocSecurity>0</DocSecurity>
  <Lines>674</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boot</dc:creator>
  <cp:keywords/>
  <dc:description/>
  <cp:lastModifiedBy>Arie van den Bergen</cp:lastModifiedBy>
  <cp:revision>4</cp:revision>
  <cp:lastPrinted>2021-05-25T08:52:00Z</cp:lastPrinted>
  <dcterms:created xsi:type="dcterms:W3CDTF">2024-06-16T10:41:00Z</dcterms:created>
  <dcterms:modified xsi:type="dcterms:W3CDTF">2024-06-16T12:34:00Z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0x010100EBECF21652D3554896B25DCA7CAB5D70005FA1A5C94F08674E9A6E2F76A73D4608</vt:lpwstr>
  </property>
  <property fmtid="{D5CDD505-2E9C-101B-9397-08002B2CF9AE}" pid="3" name="ContentType">
    <vt:lpwstr>DMS Document</vt:lpwstr>
  </property>
  <property fmtid="{D5CDD505-2E9C-101B-9397-08002B2CF9AE}" pid="4" name="ClientCode">
    <vt:lpwstr>1002</vt:lpwstr>
  </property>
  <property fmtid="{D5CDD505-2E9C-101B-9397-08002B2CF9AE}" pid="5" name="ClientName">
    <vt:lpwstr>Finnick Legal</vt:lpwstr>
  </property>
  <property fmtid="{D5CDD505-2E9C-101B-9397-08002B2CF9AE}" pid="6" name="MatterCode">
    <vt:lpwstr>2022-000186</vt:lpwstr>
  </property>
  <property fmtid="{D5CDD505-2E9C-101B-9397-08002B2CF9AE}" pid="7" name="MatterName">
    <vt:lpwstr>Marketing</vt:lpwstr>
  </property>
  <property fmtid="{D5CDD505-2E9C-101B-9397-08002B2CF9AE}" pid="8" name="b08d54a3d2e447bba37ae9149bc60be0">
    <vt:lpwstr>Niet-advocatuur|84faf958-e66f-4e68-8b2d-5d288747874a</vt:lpwstr>
  </property>
  <property fmtid="{D5CDD505-2E9C-101B-9397-08002B2CF9AE}" pid="9" name="MatterType">
    <vt:lpwstr>1;#Private|2a84c3ed-6f46-4340-9cb1-c2d209da8e0a</vt:lpwstr>
  </property>
  <property fmtid="{D5CDD505-2E9C-101B-9397-08002B2CF9AE}" pid="10" name="Created">
    <vt:lpwstr>2024-06-04T13:16:00+00:00</vt:lpwstr>
  </property>
  <property fmtid="{D5CDD505-2E9C-101B-9397-08002B2CF9AE}" pid="11" name="Modified">
    <vt:lpwstr>2024-06-14T16:53:00+00:00</vt:lpwstr>
  </property>
  <property fmtid="{D5CDD505-2E9C-101B-9397-08002B2CF9AE}" pid="12" name="_dlc_DocIdItemGuid">
    <vt:lpwstr>cee9e1a1-bed9-4894-8c62-e9d84b251002</vt:lpwstr>
  </property>
  <property fmtid="{D5CDD505-2E9C-101B-9397-08002B2CF9AE}" pid="13" name="cb11303a66c04dd3a5a03b038e67cd3b">
    <vt:lpwstr>Private|2a84c3ed-6f46-4340-9cb1-c2d209da8e0a</vt:lpwstr>
  </property>
  <property fmtid="{D5CDD505-2E9C-101B-9397-08002B2CF9AE}" pid="14" name="bc244158b8df4ae18d1c39cfd44a2881">
    <vt:lpwstr>Private|2a84c3ed-6f46-4340-9cb1-c2d209da8e0a</vt:lpwstr>
  </property>
  <property fmtid="{D5CDD505-2E9C-101B-9397-08002B2CF9AE}" pid="15" name="MediaServiceImageTags">
    <vt:lpwstr/>
  </property>
  <property fmtid="{D5CDD505-2E9C-101B-9397-08002B2CF9AE}" pid="16" name="c269e20846994e95a2c3510e9fecc242">
    <vt:lpwstr>Niet-advocatuur|84faf958-e66f-4e68-8b2d-5d288747874a</vt:lpwstr>
  </property>
</Properties>
</file>