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6480" w14:textId="1BDFC29F" w:rsidR="00A87314" w:rsidRPr="00E07897" w:rsidRDefault="00E623B0" w:rsidP="00661A55">
      <w:pPr>
        <w:pStyle w:val="Normaalweb"/>
        <w:spacing w:before="0" w:beforeAutospacing="0" w:after="225" w:afterAutospacing="0"/>
        <w:jc w:val="center"/>
        <w:rPr>
          <w:rFonts w:ascii="Calibri" w:hAnsi="Calibri" w:cs="Calibri"/>
          <w:b/>
          <w:bCs/>
          <w:color w:val="000000"/>
          <w:sz w:val="28"/>
          <w:szCs w:val="28"/>
          <w:u w:val="single"/>
        </w:rPr>
      </w:pPr>
      <w:r w:rsidRPr="00E07897">
        <w:rPr>
          <w:rFonts w:ascii="Calibri" w:hAnsi="Calibri" w:cs="Calibri"/>
          <w:b/>
          <w:bCs/>
          <w:noProof/>
          <w:color w:val="000000"/>
          <w:sz w:val="28"/>
          <w:szCs w:val="28"/>
          <w:u w:val="single"/>
        </w:rPr>
        <mc:AlternateContent>
          <mc:Choice Requires="wps">
            <w:drawing>
              <wp:anchor distT="0" distB="0" distL="114300" distR="114300" simplePos="0" relativeHeight="251659264" behindDoc="0" locked="0" layoutInCell="1" allowOverlap="1" wp14:anchorId="4131D1A8" wp14:editId="3CB945CC">
                <wp:simplePos x="0" y="0"/>
                <wp:positionH relativeFrom="margin">
                  <wp:posOffset>-91937</wp:posOffset>
                </wp:positionH>
                <wp:positionV relativeFrom="paragraph">
                  <wp:posOffset>355407</wp:posOffset>
                </wp:positionV>
                <wp:extent cx="8568856" cy="3085106"/>
                <wp:effectExtent l="0" t="0" r="22860" b="20320"/>
                <wp:wrapNone/>
                <wp:docPr id="4" name="Rechthoek 4"/>
                <wp:cNvGraphicFramePr/>
                <a:graphic xmlns:a="http://schemas.openxmlformats.org/drawingml/2006/main">
                  <a:graphicData uri="http://schemas.microsoft.com/office/word/2010/wordprocessingShape">
                    <wps:wsp>
                      <wps:cNvSpPr/>
                      <wps:spPr>
                        <a:xfrm>
                          <a:off x="0" y="0"/>
                          <a:ext cx="8568856" cy="3085106"/>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A7205" id="Rechthoek 4" o:spid="_x0000_s1026" style="position:absolute;margin-left:-7.25pt;margin-top:28pt;width:674.7pt;height:24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" filled="f" strokecolor="#7030a0" strokeweight="2pt">
                <w10:wrap anchorx="margin"/>
              </v:rect>
            </w:pict>
          </mc:Fallback>
        </mc:AlternateContent>
      </w:r>
      <w:r w:rsidR="008267D2" w:rsidRPr="00E07897">
        <w:rPr>
          <w:rFonts w:ascii="Calibri" w:hAnsi="Calibri" w:cs="Calibri"/>
          <w:b/>
          <w:bCs/>
          <w:color w:val="000000"/>
          <w:sz w:val="28"/>
          <w:szCs w:val="28"/>
          <w:u w:val="single"/>
        </w:rPr>
        <w:t>CHECKLIST</w:t>
      </w:r>
      <w:r w:rsidR="00782A7C">
        <w:rPr>
          <w:rFonts w:ascii="Calibri" w:hAnsi="Calibri" w:cs="Calibri"/>
          <w:b/>
          <w:bCs/>
          <w:color w:val="000000"/>
          <w:sz w:val="28"/>
          <w:szCs w:val="28"/>
          <w:u w:val="single"/>
        </w:rPr>
        <w:t xml:space="preserve"> IT- EN</w:t>
      </w:r>
      <w:r w:rsidR="008267D2" w:rsidRPr="00E07897">
        <w:rPr>
          <w:rFonts w:ascii="Calibri" w:hAnsi="Calibri" w:cs="Calibri"/>
          <w:b/>
          <w:bCs/>
          <w:color w:val="000000"/>
          <w:sz w:val="28"/>
          <w:szCs w:val="28"/>
          <w:u w:val="single"/>
        </w:rPr>
        <w:t xml:space="preserve"> </w:t>
      </w:r>
      <w:r w:rsidR="002E1325" w:rsidRPr="00E07897">
        <w:rPr>
          <w:rFonts w:ascii="Calibri" w:hAnsi="Calibri" w:cs="Calibri"/>
          <w:b/>
          <w:bCs/>
          <w:color w:val="000000"/>
          <w:sz w:val="28"/>
          <w:szCs w:val="28"/>
          <w:u w:val="single"/>
        </w:rPr>
        <w:t>UITBESTEDINGSCONTRACTEN</w:t>
      </w:r>
    </w:p>
    <w:p w14:paraId="160ECF8A" w14:textId="2F4C442A" w:rsidR="00BE7435" w:rsidRPr="00E07897" w:rsidRDefault="002E1325" w:rsidP="00FC4A7F">
      <w:pPr>
        <w:pStyle w:val="Normaalweb"/>
        <w:spacing w:before="0" w:beforeAutospacing="0" w:after="225" w:afterAutospacing="0"/>
        <w:rPr>
          <w:rFonts w:ascii="Calibri" w:hAnsi="Calibri" w:cs="Calibri"/>
          <w:color w:val="000000"/>
          <w:sz w:val="28"/>
          <w:szCs w:val="28"/>
        </w:rPr>
      </w:pPr>
      <w:r w:rsidRPr="00E07897">
        <w:rPr>
          <w:rFonts w:ascii="Calibri" w:hAnsi="Calibri" w:cs="Calibri"/>
          <w:color w:val="000000"/>
          <w:sz w:val="28"/>
          <w:szCs w:val="28"/>
        </w:rPr>
        <w:t>Deze</w:t>
      </w:r>
      <w:r w:rsidR="009349A3" w:rsidRPr="00E07897">
        <w:rPr>
          <w:rFonts w:ascii="Calibri" w:hAnsi="Calibri" w:cs="Calibri"/>
          <w:color w:val="000000"/>
          <w:sz w:val="28"/>
          <w:szCs w:val="28"/>
        </w:rPr>
        <w:t xml:space="preserve"> checklist </w:t>
      </w:r>
      <w:r w:rsidRPr="00E07897">
        <w:rPr>
          <w:rFonts w:ascii="Calibri" w:hAnsi="Calibri" w:cs="Calibri"/>
          <w:color w:val="000000"/>
          <w:sz w:val="28"/>
          <w:szCs w:val="28"/>
        </w:rPr>
        <w:t xml:space="preserve">geeft een overzicht van de </w:t>
      </w:r>
      <w:r w:rsidR="002E7211" w:rsidRPr="00E07897">
        <w:rPr>
          <w:rFonts w:ascii="Calibri" w:hAnsi="Calibri" w:cs="Calibri"/>
          <w:color w:val="000000"/>
          <w:sz w:val="28"/>
          <w:szCs w:val="28"/>
        </w:rPr>
        <w:t>verplichtingen</w:t>
      </w:r>
      <w:r w:rsidR="000A63A5" w:rsidRPr="00E07897">
        <w:rPr>
          <w:rFonts w:ascii="Calibri" w:hAnsi="Calibri" w:cs="Calibri"/>
          <w:color w:val="000000"/>
          <w:sz w:val="28"/>
          <w:szCs w:val="28"/>
        </w:rPr>
        <w:t xml:space="preserve"> die er vanuit de </w:t>
      </w:r>
      <w:hyperlink r:id="rId12" w:history="1">
        <w:r w:rsidR="000A63A5" w:rsidRPr="00770051">
          <w:rPr>
            <w:rStyle w:val="Hyperlink"/>
            <w:rFonts w:ascii="Calibri" w:hAnsi="Calibri" w:cs="Calibri"/>
            <w:sz w:val="28"/>
            <w:szCs w:val="28"/>
          </w:rPr>
          <w:t xml:space="preserve">EBA Richtsnoeren inzake uitbesteding </w:t>
        </w:r>
        <w:r w:rsidR="009349A3" w:rsidRPr="00770051">
          <w:rPr>
            <w:rStyle w:val="Hyperlink"/>
            <w:rFonts w:ascii="Calibri" w:hAnsi="Calibri" w:cs="Calibri"/>
            <w:sz w:val="28"/>
            <w:szCs w:val="28"/>
          </w:rPr>
          <w:t>(EBA/</w:t>
        </w:r>
        <w:r w:rsidR="00BE7435" w:rsidRPr="00770051">
          <w:rPr>
            <w:rStyle w:val="Hyperlink"/>
            <w:rFonts w:ascii="Calibri" w:hAnsi="Calibri" w:cs="Calibri"/>
            <w:sz w:val="28"/>
            <w:szCs w:val="28"/>
          </w:rPr>
          <w:t>GL/</w:t>
        </w:r>
        <w:r w:rsidR="00816206" w:rsidRPr="00770051">
          <w:rPr>
            <w:rStyle w:val="Hyperlink"/>
            <w:rFonts w:ascii="Calibri" w:hAnsi="Calibri" w:cs="Calibri"/>
            <w:sz w:val="28"/>
            <w:szCs w:val="28"/>
          </w:rPr>
          <w:t>2019/02</w:t>
        </w:r>
        <w:r w:rsidR="00BE7435" w:rsidRPr="00770051">
          <w:rPr>
            <w:rStyle w:val="Hyperlink"/>
            <w:rFonts w:ascii="Calibri" w:hAnsi="Calibri" w:cs="Calibri"/>
            <w:sz w:val="28"/>
            <w:szCs w:val="28"/>
          </w:rPr>
          <w:t>)</w:t>
        </w:r>
      </w:hyperlink>
      <w:r w:rsidR="00E75378" w:rsidRPr="00E07897">
        <w:rPr>
          <w:rFonts w:ascii="Calibri" w:hAnsi="Calibri" w:cs="Calibri"/>
          <w:color w:val="000000"/>
          <w:sz w:val="28"/>
          <w:szCs w:val="28"/>
        </w:rPr>
        <w:t xml:space="preserve"> aan uitbestedingscontracten worden gesteld</w:t>
      </w:r>
      <w:r w:rsidR="00BE7435" w:rsidRPr="00E07897">
        <w:rPr>
          <w:rFonts w:ascii="Calibri" w:hAnsi="Calibri" w:cs="Calibri"/>
          <w:color w:val="000000"/>
          <w:sz w:val="28"/>
          <w:szCs w:val="28"/>
        </w:rPr>
        <w:t xml:space="preserve">. </w:t>
      </w:r>
      <w:r w:rsidR="008D3679">
        <w:rPr>
          <w:rFonts w:ascii="Calibri" w:hAnsi="Calibri" w:cs="Calibri"/>
          <w:color w:val="000000"/>
          <w:sz w:val="28"/>
          <w:szCs w:val="28"/>
        </w:rPr>
        <w:t xml:space="preserve">Er staan ook </w:t>
      </w:r>
      <w:r w:rsidR="00FF7B58">
        <w:rPr>
          <w:rFonts w:ascii="Calibri" w:hAnsi="Calibri" w:cs="Calibri"/>
          <w:color w:val="000000"/>
          <w:sz w:val="28"/>
          <w:szCs w:val="28"/>
        </w:rPr>
        <w:t xml:space="preserve">belangrijke contactuele bepalingen in die </w:t>
      </w:r>
      <w:r w:rsidR="00402242">
        <w:rPr>
          <w:rFonts w:ascii="Calibri" w:hAnsi="Calibri" w:cs="Calibri"/>
          <w:color w:val="000000"/>
          <w:sz w:val="28"/>
          <w:szCs w:val="28"/>
        </w:rPr>
        <w:t xml:space="preserve">in ICT contracten met ICT-dienstverleners moeten zijn opgenomen </w:t>
      </w:r>
      <w:r w:rsidR="00782A7C">
        <w:rPr>
          <w:rFonts w:ascii="Calibri" w:hAnsi="Calibri" w:cs="Calibri"/>
          <w:color w:val="000000"/>
          <w:sz w:val="28"/>
          <w:szCs w:val="28"/>
        </w:rPr>
        <w:t xml:space="preserve">overeenkomstig artikel 28(7) en 30 van de </w:t>
      </w:r>
      <w:hyperlink r:id="rId13" w:history="1">
        <w:r w:rsidR="00EC2404">
          <w:rPr>
            <w:rStyle w:val="Hyperlink"/>
            <w:rFonts w:ascii="Calibri" w:hAnsi="Calibri" w:cs="Calibri"/>
            <w:sz w:val="28"/>
            <w:szCs w:val="28"/>
          </w:rPr>
          <w:t xml:space="preserve">Digital </w:t>
        </w:r>
        <w:proofErr w:type="spellStart"/>
        <w:r w:rsidR="00EC2404">
          <w:rPr>
            <w:rStyle w:val="Hyperlink"/>
            <w:rFonts w:ascii="Calibri" w:hAnsi="Calibri" w:cs="Calibri"/>
            <w:sz w:val="28"/>
            <w:szCs w:val="28"/>
          </w:rPr>
          <w:t>Operational</w:t>
        </w:r>
        <w:proofErr w:type="spellEnd"/>
        <w:r w:rsidR="00EC2404">
          <w:rPr>
            <w:rStyle w:val="Hyperlink"/>
            <w:rFonts w:ascii="Calibri" w:hAnsi="Calibri" w:cs="Calibri"/>
            <w:sz w:val="28"/>
            <w:szCs w:val="28"/>
          </w:rPr>
          <w:t xml:space="preserve"> </w:t>
        </w:r>
        <w:proofErr w:type="spellStart"/>
        <w:r w:rsidR="00EC2404">
          <w:rPr>
            <w:rStyle w:val="Hyperlink"/>
            <w:rFonts w:ascii="Calibri" w:hAnsi="Calibri" w:cs="Calibri"/>
            <w:sz w:val="28"/>
            <w:szCs w:val="28"/>
          </w:rPr>
          <w:t>Resilience</w:t>
        </w:r>
        <w:proofErr w:type="spellEnd"/>
        <w:r w:rsidR="00EC2404">
          <w:rPr>
            <w:rStyle w:val="Hyperlink"/>
            <w:rFonts w:ascii="Calibri" w:hAnsi="Calibri" w:cs="Calibri"/>
            <w:sz w:val="28"/>
            <w:szCs w:val="28"/>
          </w:rPr>
          <w:t xml:space="preserve"> Act</w:t>
        </w:r>
      </w:hyperlink>
      <w:r w:rsidR="00EC2404">
        <w:rPr>
          <w:rFonts w:ascii="Calibri" w:hAnsi="Calibri" w:cs="Calibri"/>
          <w:color w:val="000000"/>
          <w:sz w:val="28"/>
          <w:szCs w:val="28"/>
        </w:rPr>
        <w:t xml:space="preserve"> (“</w:t>
      </w:r>
      <w:r w:rsidR="00EC2404">
        <w:rPr>
          <w:rFonts w:ascii="Calibri" w:hAnsi="Calibri" w:cs="Calibri"/>
          <w:b/>
          <w:bCs/>
          <w:color w:val="000000"/>
          <w:sz w:val="28"/>
          <w:szCs w:val="28"/>
        </w:rPr>
        <w:t>DORA</w:t>
      </w:r>
      <w:r w:rsidR="009D0BFB" w:rsidRPr="009D0BFB">
        <w:rPr>
          <w:rFonts w:ascii="Calibri" w:hAnsi="Calibri" w:cs="Calibri"/>
          <w:color w:val="000000"/>
          <w:sz w:val="28"/>
          <w:szCs w:val="28"/>
        </w:rPr>
        <w:t>”)</w:t>
      </w:r>
      <w:r w:rsidR="009D0BFB">
        <w:rPr>
          <w:rFonts w:ascii="Calibri" w:hAnsi="Calibri" w:cs="Calibri"/>
          <w:color w:val="000000"/>
          <w:sz w:val="28"/>
          <w:szCs w:val="28"/>
        </w:rPr>
        <w:t>.</w:t>
      </w:r>
      <w:r w:rsidR="00782A7C">
        <w:rPr>
          <w:rFonts w:ascii="Calibri" w:hAnsi="Calibri" w:cs="Calibri"/>
          <w:color w:val="000000"/>
          <w:sz w:val="28"/>
          <w:szCs w:val="28"/>
        </w:rPr>
        <w:t xml:space="preserve"> </w:t>
      </w:r>
      <w:r w:rsidR="00E75378" w:rsidRPr="00E07897">
        <w:rPr>
          <w:rFonts w:ascii="Calibri" w:hAnsi="Calibri" w:cs="Calibri"/>
          <w:color w:val="000000"/>
          <w:sz w:val="28"/>
          <w:szCs w:val="28"/>
        </w:rPr>
        <w:t xml:space="preserve">Een verwijzing naar </w:t>
      </w:r>
      <w:r w:rsidR="009349A3" w:rsidRPr="00E07897">
        <w:rPr>
          <w:rFonts w:ascii="Calibri" w:hAnsi="Calibri" w:cs="Calibri"/>
          <w:color w:val="000000"/>
          <w:sz w:val="28"/>
          <w:szCs w:val="28"/>
        </w:rPr>
        <w:t>‘</w:t>
      </w:r>
      <w:r w:rsidR="009349A3" w:rsidRPr="009D0BFB">
        <w:rPr>
          <w:rFonts w:ascii="Calibri" w:hAnsi="Calibri" w:cs="Calibri"/>
          <w:b/>
          <w:bCs/>
          <w:color w:val="000000"/>
          <w:sz w:val="28"/>
          <w:szCs w:val="28"/>
        </w:rPr>
        <w:t>ins</w:t>
      </w:r>
      <w:r w:rsidR="001822C8" w:rsidRPr="009D0BFB">
        <w:rPr>
          <w:rFonts w:ascii="Calibri" w:hAnsi="Calibri" w:cs="Calibri"/>
          <w:b/>
          <w:bCs/>
          <w:color w:val="000000"/>
          <w:sz w:val="28"/>
          <w:szCs w:val="28"/>
        </w:rPr>
        <w:t>tellingen</w:t>
      </w:r>
      <w:r w:rsidR="009349A3" w:rsidRPr="00E07897">
        <w:rPr>
          <w:rFonts w:ascii="Calibri" w:hAnsi="Calibri" w:cs="Calibri"/>
          <w:color w:val="000000"/>
          <w:sz w:val="28"/>
          <w:szCs w:val="28"/>
        </w:rPr>
        <w:t xml:space="preserve">’ </w:t>
      </w:r>
      <w:r w:rsidR="001822C8" w:rsidRPr="00E07897">
        <w:rPr>
          <w:rFonts w:ascii="Calibri" w:hAnsi="Calibri" w:cs="Calibri"/>
          <w:color w:val="000000"/>
          <w:sz w:val="28"/>
          <w:szCs w:val="28"/>
        </w:rPr>
        <w:t xml:space="preserve">verwijst naar </w:t>
      </w:r>
      <w:r w:rsidR="008A60F2" w:rsidRPr="00E07897">
        <w:rPr>
          <w:rFonts w:ascii="Calibri" w:hAnsi="Calibri" w:cs="Calibri"/>
          <w:color w:val="000000"/>
          <w:sz w:val="28"/>
          <w:szCs w:val="28"/>
        </w:rPr>
        <w:t>kredietinstellingen en beleggings</w:t>
      </w:r>
      <w:r w:rsidR="003F27BA" w:rsidRPr="00E07897">
        <w:rPr>
          <w:rFonts w:ascii="Calibri" w:hAnsi="Calibri" w:cs="Calibri"/>
          <w:color w:val="000000"/>
          <w:sz w:val="28"/>
          <w:szCs w:val="28"/>
        </w:rPr>
        <w:t xml:space="preserve">ondernemingen in de zin van </w:t>
      </w:r>
      <w:hyperlink r:id="rId14" w:history="1">
        <w:r w:rsidR="003F27BA" w:rsidRPr="00EB7945">
          <w:rPr>
            <w:rStyle w:val="Hyperlink"/>
            <w:rFonts w:ascii="Calibri" w:hAnsi="Calibri" w:cs="Calibri"/>
            <w:sz w:val="28"/>
            <w:szCs w:val="28"/>
          </w:rPr>
          <w:t>Richtlijn</w:t>
        </w:r>
        <w:r w:rsidR="009349A3" w:rsidRPr="00EB7945">
          <w:rPr>
            <w:rStyle w:val="Hyperlink"/>
            <w:rFonts w:ascii="Calibri" w:hAnsi="Calibri" w:cs="Calibri"/>
            <w:sz w:val="28"/>
            <w:szCs w:val="28"/>
          </w:rPr>
          <w:t xml:space="preserve"> 20</w:t>
        </w:r>
        <w:r w:rsidR="00193880" w:rsidRPr="00EB7945">
          <w:rPr>
            <w:rStyle w:val="Hyperlink"/>
            <w:rFonts w:ascii="Calibri" w:hAnsi="Calibri" w:cs="Calibri"/>
            <w:sz w:val="28"/>
            <w:szCs w:val="28"/>
          </w:rPr>
          <w:t>1</w:t>
        </w:r>
        <w:r w:rsidR="009349A3" w:rsidRPr="00EB7945">
          <w:rPr>
            <w:rStyle w:val="Hyperlink"/>
            <w:rFonts w:ascii="Calibri" w:hAnsi="Calibri" w:cs="Calibri"/>
            <w:sz w:val="28"/>
            <w:szCs w:val="28"/>
          </w:rPr>
          <w:t>3/36/EU (CRD IV)</w:t>
        </w:r>
      </w:hyperlink>
      <w:r w:rsidR="00BA4D85">
        <w:rPr>
          <w:rFonts w:ascii="Calibri" w:hAnsi="Calibri" w:cs="Calibri"/>
          <w:color w:val="000000"/>
          <w:sz w:val="28"/>
          <w:szCs w:val="28"/>
        </w:rPr>
        <w:t>,</w:t>
      </w:r>
      <w:r w:rsidR="009349A3" w:rsidRPr="00E07897">
        <w:rPr>
          <w:rFonts w:ascii="Calibri" w:hAnsi="Calibri" w:cs="Calibri"/>
          <w:color w:val="000000"/>
          <w:sz w:val="28"/>
          <w:szCs w:val="28"/>
        </w:rPr>
        <w:t xml:space="preserve"> </w:t>
      </w:r>
      <w:r w:rsidR="003F27BA" w:rsidRPr="00E07897">
        <w:rPr>
          <w:rFonts w:ascii="Calibri" w:hAnsi="Calibri" w:cs="Calibri"/>
          <w:color w:val="000000"/>
          <w:sz w:val="28"/>
          <w:szCs w:val="28"/>
        </w:rPr>
        <w:t xml:space="preserve">een verwijzing naar </w:t>
      </w:r>
      <w:r w:rsidR="009349A3" w:rsidRPr="00E07897">
        <w:rPr>
          <w:rFonts w:ascii="Calibri" w:hAnsi="Calibri" w:cs="Calibri"/>
          <w:color w:val="000000"/>
          <w:sz w:val="28"/>
          <w:szCs w:val="28"/>
        </w:rPr>
        <w:t>‘</w:t>
      </w:r>
      <w:r w:rsidR="00FA7C94" w:rsidRPr="00BA4D85">
        <w:rPr>
          <w:rFonts w:ascii="Calibri" w:hAnsi="Calibri" w:cs="Calibri"/>
          <w:b/>
          <w:bCs/>
          <w:color w:val="000000"/>
          <w:sz w:val="28"/>
          <w:szCs w:val="28"/>
        </w:rPr>
        <w:t>betaalinstellingen</w:t>
      </w:r>
      <w:r w:rsidR="004E50E3" w:rsidRPr="00E07897">
        <w:rPr>
          <w:rFonts w:ascii="Calibri" w:hAnsi="Calibri" w:cs="Calibri"/>
          <w:color w:val="000000"/>
          <w:sz w:val="28"/>
          <w:szCs w:val="28"/>
        </w:rPr>
        <w:t xml:space="preserve">’ </w:t>
      </w:r>
      <w:r w:rsidR="00FA7C94" w:rsidRPr="00E07897">
        <w:rPr>
          <w:rFonts w:ascii="Calibri" w:hAnsi="Calibri" w:cs="Calibri"/>
          <w:color w:val="000000"/>
          <w:sz w:val="28"/>
          <w:szCs w:val="28"/>
        </w:rPr>
        <w:t xml:space="preserve">verwijst naar betaalinstellingen en </w:t>
      </w:r>
      <w:proofErr w:type="spellStart"/>
      <w:r w:rsidR="00FA7C94" w:rsidRPr="00E07897">
        <w:rPr>
          <w:rFonts w:ascii="Calibri" w:hAnsi="Calibri" w:cs="Calibri"/>
          <w:color w:val="000000"/>
          <w:sz w:val="28"/>
          <w:szCs w:val="28"/>
        </w:rPr>
        <w:t>elektronischgeldinstellingen</w:t>
      </w:r>
      <w:proofErr w:type="spellEnd"/>
      <w:r w:rsidR="00BA4D85">
        <w:rPr>
          <w:rFonts w:ascii="Calibri" w:hAnsi="Calibri" w:cs="Calibri"/>
          <w:color w:val="000000"/>
          <w:sz w:val="28"/>
          <w:szCs w:val="28"/>
        </w:rPr>
        <w:t xml:space="preserve"> en een verwijzing naar ‘</w:t>
      </w:r>
      <w:r w:rsidR="00913C41">
        <w:rPr>
          <w:rFonts w:ascii="Calibri" w:hAnsi="Calibri" w:cs="Calibri"/>
          <w:b/>
          <w:bCs/>
          <w:color w:val="000000"/>
          <w:sz w:val="28"/>
          <w:szCs w:val="28"/>
        </w:rPr>
        <w:t>financiële entiteit</w:t>
      </w:r>
      <w:r w:rsidR="00913C41">
        <w:rPr>
          <w:rFonts w:ascii="Calibri" w:hAnsi="Calibri" w:cs="Calibri"/>
          <w:color w:val="000000"/>
          <w:sz w:val="28"/>
          <w:szCs w:val="28"/>
        </w:rPr>
        <w:t>’ verwijst naar alle EU gereguleerde financiële instellingen die onderworpen zijn aan DORA overeenkomstig artikel 2 lid 1 daarvan.</w:t>
      </w:r>
      <w:r w:rsidR="004E50E3" w:rsidRPr="00E07897">
        <w:rPr>
          <w:rFonts w:ascii="Calibri" w:hAnsi="Calibri" w:cs="Calibri"/>
          <w:color w:val="000000"/>
          <w:sz w:val="28"/>
          <w:szCs w:val="28"/>
        </w:rPr>
        <w:t xml:space="preserve"> </w:t>
      </w:r>
    </w:p>
    <w:p w14:paraId="54E6C9C9" w14:textId="6F0E1368" w:rsidR="00517DA4" w:rsidRPr="00E07897" w:rsidRDefault="00517DA4" w:rsidP="00D70666">
      <w:pPr>
        <w:pStyle w:val="Normaalweb"/>
        <w:spacing w:before="0" w:beforeAutospacing="0" w:after="225" w:afterAutospacing="0"/>
        <w:rPr>
          <w:rFonts w:ascii="Calibri" w:hAnsi="Calibri" w:cs="Calibri"/>
          <w:b/>
          <w:bCs/>
          <w:color w:val="000000"/>
          <w:sz w:val="28"/>
          <w:szCs w:val="28"/>
        </w:rPr>
      </w:pPr>
      <w:r w:rsidRPr="00E07897">
        <w:rPr>
          <w:rFonts w:ascii="Calibri" w:hAnsi="Calibri" w:cs="Calibri"/>
          <w:b/>
          <w:bCs/>
          <w:color w:val="000000"/>
          <w:sz w:val="28"/>
          <w:szCs w:val="28"/>
        </w:rPr>
        <w:t xml:space="preserve">N.B.: </w:t>
      </w:r>
      <w:r w:rsidR="009312C5" w:rsidRPr="00E07897">
        <w:rPr>
          <w:rFonts w:ascii="Calibri" w:hAnsi="Calibri" w:cs="Calibri"/>
          <w:b/>
          <w:bCs/>
          <w:color w:val="000000"/>
          <w:sz w:val="28"/>
          <w:szCs w:val="28"/>
        </w:rPr>
        <w:t xml:space="preserve">Deze checklist geeft een overzicht van de belangrijkste bepalingen voor </w:t>
      </w:r>
      <w:r w:rsidR="00E623B0">
        <w:rPr>
          <w:rFonts w:ascii="Calibri" w:hAnsi="Calibri" w:cs="Calibri"/>
          <w:b/>
          <w:bCs/>
          <w:color w:val="000000"/>
          <w:sz w:val="28"/>
          <w:szCs w:val="28"/>
        </w:rPr>
        <w:t xml:space="preserve">(i) </w:t>
      </w:r>
      <w:r w:rsidR="009312C5" w:rsidRPr="00E07897">
        <w:rPr>
          <w:rFonts w:ascii="Calibri" w:hAnsi="Calibri" w:cs="Calibri"/>
          <w:b/>
          <w:bCs/>
          <w:color w:val="000000"/>
          <w:sz w:val="28"/>
          <w:szCs w:val="28"/>
        </w:rPr>
        <w:t xml:space="preserve">uitbestedingscontracten volgens </w:t>
      </w:r>
      <w:r w:rsidR="0092078E" w:rsidRPr="00E07897">
        <w:rPr>
          <w:rFonts w:ascii="Calibri" w:hAnsi="Calibri" w:cs="Calibri"/>
          <w:b/>
          <w:bCs/>
          <w:color w:val="000000"/>
          <w:sz w:val="28"/>
          <w:szCs w:val="28"/>
        </w:rPr>
        <w:t>de EBA Richtsnoeren inzake uitbesteding</w:t>
      </w:r>
      <w:r w:rsidR="00E623B0">
        <w:rPr>
          <w:rFonts w:ascii="Calibri" w:hAnsi="Calibri" w:cs="Calibri"/>
          <w:b/>
          <w:bCs/>
          <w:color w:val="000000"/>
          <w:sz w:val="28"/>
          <w:szCs w:val="28"/>
        </w:rPr>
        <w:t xml:space="preserve"> en (ii) ICT contracten volgens DORA</w:t>
      </w:r>
      <w:r w:rsidR="0092078E" w:rsidRPr="00E07897">
        <w:rPr>
          <w:rFonts w:ascii="Calibri" w:hAnsi="Calibri" w:cs="Calibri"/>
          <w:b/>
          <w:bCs/>
          <w:color w:val="000000"/>
          <w:sz w:val="28"/>
          <w:szCs w:val="28"/>
        </w:rPr>
        <w:t xml:space="preserve">, maar beoogt geen volledig overzicht </w:t>
      </w:r>
      <w:bookmarkStart w:id="0" w:name="OpenAt"/>
      <w:bookmarkEnd w:id="0"/>
      <w:r w:rsidR="0092078E" w:rsidRPr="00E07897">
        <w:rPr>
          <w:rFonts w:ascii="Calibri" w:hAnsi="Calibri" w:cs="Calibri"/>
          <w:b/>
          <w:bCs/>
          <w:color w:val="000000"/>
          <w:sz w:val="28"/>
          <w:szCs w:val="28"/>
        </w:rPr>
        <w:t xml:space="preserve">van alle relevante bepalingen te geven. </w:t>
      </w:r>
      <w:r w:rsidR="002E4AE2" w:rsidRPr="00E07897">
        <w:rPr>
          <w:rFonts w:ascii="Calibri" w:hAnsi="Calibri" w:cs="Calibri"/>
          <w:b/>
          <w:bCs/>
          <w:color w:val="000000"/>
          <w:sz w:val="28"/>
          <w:szCs w:val="28"/>
        </w:rPr>
        <w:t xml:space="preserve">Er zal altijd een controle door een jurist moeten plaatsvinden. </w:t>
      </w:r>
    </w:p>
    <w:p w14:paraId="129C1C45" w14:textId="77777777" w:rsidR="00295056" w:rsidRPr="00E07897" w:rsidRDefault="00295056" w:rsidP="00D70666">
      <w:pPr>
        <w:pStyle w:val="Normaalweb"/>
        <w:spacing w:before="0" w:beforeAutospacing="0" w:after="225" w:afterAutospacing="0"/>
        <w:rPr>
          <w:rFonts w:ascii="Calibri" w:hAnsi="Calibri" w:cs="Calibri"/>
          <w:color w:val="000000"/>
        </w:rPr>
      </w:pPr>
    </w:p>
    <w:tbl>
      <w:tblPr>
        <w:tblStyle w:val="Tabelraster"/>
        <w:tblW w:w="0" w:type="auto"/>
        <w:tblLook w:val="04A0" w:firstRow="1" w:lastRow="0" w:firstColumn="1" w:lastColumn="0" w:noHBand="0" w:noVBand="1"/>
      </w:tblPr>
      <w:tblGrid>
        <w:gridCol w:w="703"/>
        <w:gridCol w:w="5174"/>
        <w:gridCol w:w="1445"/>
        <w:gridCol w:w="1829"/>
        <w:gridCol w:w="4188"/>
      </w:tblGrid>
      <w:tr w:rsidR="007C52C0" w:rsidRPr="00E07897" w14:paraId="780018A8" w14:textId="77777777" w:rsidTr="00101194">
        <w:trPr>
          <w:trHeight w:val="232"/>
        </w:trPr>
        <w:tc>
          <w:tcPr>
            <w:tcW w:w="703" w:type="dxa"/>
            <w:shd w:val="clear" w:color="auto" w:fill="00B0F0"/>
          </w:tcPr>
          <w:p w14:paraId="4A2C815B" w14:textId="77777777" w:rsidR="005B1138" w:rsidRPr="00E07897" w:rsidRDefault="005B1138" w:rsidP="00311051">
            <w:pPr>
              <w:rPr>
                <w:rFonts w:ascii="Calibri" w:hAnsi="Calibri" w:cs="Calibri"/>
                <w:b/>
                <w:bCs/>
                <w:color w:val="FFFFFF" w:themeColor="background1"/>
                <w:sz w:val="24"/>
                <w:szCs w:val="24"/>
              </w:rPr>
            </w:pPr>
            <w:r w:rsidRPr="00E07897">
              <w:rPr>
                <w:rFonts w:ascii="Calibri" w:hAnsi="Calibri" w:cs="Calibri"/>
                <w:b/>
                <w:bCs/>
                <w:color w:val="FFFFFF" w:themeColor="background1"/>
                <w:sz w:val="24"/>
                <w:szCs w:val="24"/>
              </w:rPr>
              <w:t>Item</w:t>
            </w:r>
          </w:p>
        </w:tc>
        <w:tc>
          <w:tcPr>
            <w:tcW w:w="5174" w:type="dxa"/>
            <w:shd w:val="clear" w:color="auto" w:fill="00B0F0"/>
          </w:tcPr>
          <w:p w14:paraId="286B53D5" w14:textId="455C8397" w:rsidR="005B1138" w:rsidRPr="00E07897" w:rsidRDefault="002E7211" w:rsidP="00311051">
            <w:pPr>
              <w:rPr>
                <w:rFonts w:ascii="Calibri" w:hAnsi="Calibri" w:cs="Calibri"/>
                <w:b/>
                <w:bCs/>
                <w:color w:val="FFFFFF" w:themeColor="background1"/>
                <w:sz w:val="24"/>
                <w:szCs w:val="24"/>
              </w:rPr>
            </w:pPr>
            <w:r w:rsidRPr="00E07897">
              <w:rPr>
                <w:rFonts w:ascii="Calibri" w:hAnsi="Calibri" w:cs="Calibri"/>
                <w:b/>
                <w:bCs/>
                <w:color w:val="FFFFFF" w:themeColor="background1"/>
                <w:sz w:val="24"/>
                <w:szCs w:val="24"/>
              </w:rPr>
              <w:t>Verplichting</w:t>
            </w:r>
          </w:p>
        </w:tc>
        <w:tc>
          <w:tcPr>
            <w:tcW w:w="1445" w:type="dxa"/>
            <w:shd w:val="clear" w:color="auto" w:fill="00B0F0"/>
          </w:tcPr>
          <w:p w14:paraId="387BC8B4" w14:textId="3E8C3DB8" w:rsidR="005B1138" w:rsidRPr="00E07897" w:rsidRDefault="002E7211" w:rsidP="00311051">
            <w:pPr>
              <w:rPr>
                <w:rFonts w:ascii="Calibri" w:hAnsi="Calibri" w:cs="Calibri"/>
                <w:b/>
                <w:bCs/>
                <w:color w:val="FFFFFF" w:themeColor="background1"/>
                <w:sz w:val="24"/>
                <w:szCs w:val="24"/>
              </w:rPr>
            </w:pPr>
            <w:r w:rsidRPr="00E07897">
              <w:rPr>
                <w:rFonts w:ascii="Calibri" w:hAnsi="Calibri" w:cs="Calibri"/>
                <w:b/>
                <w:bCs/>
                <w:color w:val="FFFFFF" w:themeColor="background1"/>
                <w:sz w:val="24"/>
                <w:szCs w:val="24"/>
              </w:rPr>
              <w:t>Opgenomen in het</w:t>
            </w:r>
            <w:r w:rsidR="005B1138" w:rsidRPr="00E07897">
              <w:rPr>
                <w:rFonts w:ascii="Calibri" w:hAnsi="Calibri" w:cs="Calibri"/>
                <w:b/>
                <w:bCs/>
                <w:color w:val="FFFFFF" w:themeColor="background1"/>
                <w:sz w:val="24"/>
                <w:szCs w:val="24"/>
              </w:rPr>
              <w:t xml:space="preserve"> contract (</w:t>
            </w:r>
            <w:r w:rsidRPr="00E07897">
              <w:rPr>
                <w:rFonts w:ascii="Calibri" w:hAnsi="Calibri" w:cs="Calibri"/>
                <w:b/>
                <w:bCs/>
                <w:color w:val="FFFFFF" w:themeColor="background1"/>
                <w:sz w:val="24"/>
                <w:szCs w:val="24"/>
              </w:rPr>
              <w:t>ja</w:t>
            </w:r>
            <w:r w:rsidR="005B1138" w:rsidRPr="00E07897">
              <w:rPr>
                <w:rFonts w:ascii="Calibri" w:hAnsi="Calibri" w:cs="Calibri"/>
                <w:b/>
                <w:bCs/>
                <w:color w:val="FFFFFF" w:themeColor="background1"/>
                <w:sz w:val="24"/>
                <w:szCs w:val="24"/>
              </w:rPr>
              <w:t>/n</w:t>
            </w:r>
            <w:r w:rsidRPr="00E07897">
              <w:rPr>
                <w:rFonts w:ascii="Calibri" w:hAnsi="Calibri" w:cs="Calibri"/>
                <w:b/>
                <w:bCs/>
                <w:color w:val="FFFFFF" w:themeColor="background1"/>
                <w:sz w:val="24"/>
                <w:szCs w:val="24"/>
              </w:rPr>
              <w:t>ee</w:t>
            </w:r>
            <w:r w:rsidR="005B1138" w:rsidRPr="00E07897">
              <w:rPr>
                <w:rFonts w:ascii="Calibri" w:hAnsi="Calibri" w:cs="Calibri"/>
                <w:b/>
                <w:bCs/>
                <w:color w:val="FFFFFF" w:themeColor="background1"/>
                <w:sz w:val="24"/>
                <w:szCs w:val="24"/>
              </w:rPr>
              <w:t>)?</w:t>
            </w:r>
          </w:p>
        </w:tc>
        <w:tc>
          <w:tcPr>
            <w:tcW w:w="1829" w:type="dxa"/>
            <w:shd w:val="clear" w:color="auto" w:fill="00B0F0"/>
          </w:tcPr>
          <w:p w14:paraId="7FCF6F50" w14:textId="21B858E4" w:rsidR="005B1138" w:rsidRPr="00E07897" w:rsidRDefault="002E7211" w:rsidP="00311051">
            <w:pPr>
              <w:rPr>
                <w:rFonts w:ascii="Calibri" w:hAnsi="Calibri" w:cs="Calibri"/>
                <w:b/>
                <w:bCs/>
                <w:color w:val="FFFFFF" w:themeColor="background1"/>
                <w:sz w:val="24"/>
                <w:szCs w:val="24"/>
              </w:rPr>
            </w:pPr>
            <w:r w:rsidRPr="00E07897">
              <w:rPr>
                <w:rFonts w:ascii="Calibri" w:hAnsi="Calibri" w:cs="Calibri"/>
                <w:b/>
                <w:bCs/>
                <w:color w:val="FFFFFF" w:themeColor="background1"/>
                <w:sz w:val="24"/>
                <w:szCs w:val="24"/>
              </w:rPr>
              <w:t>Waar opgenomen</w:t>
            </w:r>
          </w:p>
        </w:tc>
        <w:tc>
          <w:tcPr>
            <w:tcW w:w="4188" w:type="dxa"/>
            <w:shd w:val="clear" w:color="auto" w:fill="00B0F0"/>
          </w:tcPr>
          <w:p w14:paraId="53EE4CAB" w14:textId="4F001711" w:rsidR="005B1138" w:rsidRPr="00E07897" w:rsidRDefault="005B1138" w:rsidP="00311051">
            <w:pPr>
              <w:rPr>
                <w:rFonts w:ascii="Calibri" w:hAnsi="Calibri" w:cs="Calibri"/>
                <w:b/>
                <w:bCs/>
                <w:color w:val="FFFFFF" w:themeColor="background1"/>
                <w:sz w:val="24"/>
                <w:szCs w:val="24"/>
              </w:rPr>
            </w:pPr>
            <w:r w:rsidRPr="00E07897">
              <w:rPr>
                <w:rFonts w:ascii="Calibri" w:hAnsi="Calibri" w:cs="Calibri"/>
                <w:b/>
                <w:bCs/>
                <w:color w:val="FFFFFF" w:themeColor="background1"/>
                <w:sz w:val="24"/>
                <w:szCs w:val="24"/>
              </w:rPr>
              <w:t>Comment</w:t>
            </w:r>
            <w:r w:rsidR="002E7211" w:rsidRPr="00E07897">
              <w:rPr>
                <w:rFonts w:ascii="Calibri" w:hAnsi="Calibri" w:cs="Calibri"/>
                <w:b/>
                <w:bCs/>
                <w:color w:val="FFFFFF" w:themeColor="background1"/>
                <w:sz w:val="24"/>
                <w:szCs w:val="24"/>
              </w:rPr>
              <w:t>aar</w:t>
            </w:r>
          </w:p>
        </w:tc>
      </w:tr>
      <w:tr w:rsidR="009E339D" w:rsidRPr="00E07897" w14:paraId="42A7C191" w14:textId="77777777" w:rsidTr="009E339D">
        <w:tc>
          <w:tcPr>
            <w:tcW w:w="13339" w:type="dxa"/>
            <w:gridSpan w:val="5"/>
            <w:shd w:val="clear" w:color="auto" w:fill="7030A0"/>
          </w:tcPr>
          <w:p w14:paraId="1DBEFAC9" w14:textId="52E99571" w:rsidR="009E339D" w:rsidRPr="002804C6" w:rsidRDefault="009B4E20" w:rsidP="00311051">
            <w:pPr>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EBA Richtsnoeren inzake uitbesteding - </w:t>
            </w:r>
            <w:r w:rsidR="00C60908" w:rsidRPr="002804C6">
              <w:rPr>
                <w:rFonts w:ascii="Calibri" w:hAnsi="Calibri" w:cs="Calibri"/>
                <w:b/>
                <w:bCs/>
                <w:color w:val="FFFFFF" w:themeColor="background1"/>
                <w:sz w:val="24"/>
                <w:szCs w:val="24"/>
              </w:rPr>
              <w:t>Algemene verplichtingen</w:t>
            </w:r>
          </w:p>
        </w:tc>
      </w:tr>
      <w:tr w:rsidR="007C52C0" w:rsidRPr="00E07897" w14:paraId="19478494" w14:textId="77777777" w:rsidTr="00101194">
        <w:tc>
          <w:tcPr>
            <w:tcW w:w="703" w:type="dxa"/>
          </w:tcPr>
          <w:p w14:paraId="38B9BBA2" w14:textId="471255BD" w:rsidR="005B1138" w:rsidRPr="00E07897" w:rsidRDefault="00924C4F" w:rsidP="00311051">
            <w:pPr>
              <w:rPr>
                <w:rFonts w:ascii="Calibri" w:hAnsi="Calibri" w:cs="Calibri"/>
                <w:sz w:val="24"/>
                <w:szCs w:val="24"/>
              </w:rPr>
            </w:pPr>
            <w:r w:rsidRPr="00E07897">
              <w:rPr>
                <w:rFonts w:ascii="Calibri" w:hAnsi="Calibri" w:cs="Calibri"/>
                <w:sz w:val="24"/>
                <w:szCs w:val="24"/>
              </w:rPr>
              <w:t>1.</w:t>
            </w:r>
          </w:p>
        </w:tc>
        <w:tc>
          <w:tcPr>
            <w:tcW w:w="5174" w:type="dxa"/>
          </w:tcPr>
          <w:p w14:paraId="485FF52A" w14:textId="4513E275" w:rsidR="005B1138" w:rsidRPr="00E07897" w:rsidRDefault="00A74724" w:rsidP="00311051">
            <w:pPr>
              <w:rPr>
                <w:rFonts w:ascii="Calibri" w:eastAsia="Times New Roman" w:hAnsi="Calibri" w:cs="Calibri"/>
                <w:color w:val="000000"/>
                <w:sz w:val="24"/>
                <w:szCs w:val="24"/>
              </w:rPr>
            </w:pPr>
            <w:r w:rsidRPr="00E07897">
              <w:rPr>
                <w:rFonts w:ascii="Calibri" w:hAnsi="Calibri" w:cs="Calibri"/>
                <w:color w:val="000000"/>
                <w:sz w:val="24"/>
                <w:szCs w:val="24"/>
              </w:rPr>
              <w:t>Een heldere beschrijving van de te verrichten uitbestede functie</w:t>
            </w:r>
            <w:r w:rsidR="00785D84">
              <w:rPr>
                <w:rFonts w:ascii="Calibri" w:hAnsi="Calibri" w:cs="Calibri"/>
                <w:color w:val="000000"/>
                <w:sz w:val="24"/>
                <w:szCs w:val="24"/>
              </w:rPr>
              <w:t>.</w:t>
            </w:r>
          </w:p>
        </w:tc>
        <w:tc>
          <w:tcPr>
            <w:tcW w:w="1445" w:type="dxa"/>
          </w:tcPr>
          <w:p w14:paraId="244D38C2" w14:textId="77777777" w:rsidR="005B1138" w:rsidRPr="00E07897" w:rsidRDefault="005B1138" w:rsidP="00311051">
            <w:pPr>
              <w:rPr>
                <w:rFonts w:ascii="Calibri" w:hAnsi="Calibri" w:cs="Calibri"/>
                <w:sz w:val="24"/>
                <w:szCs w:val="24"/>
              </w:rPr>
            </w:pPr>
          </w:p>
        </w:tc>
        <w:tc>
          <w:tcPr>
            <w:tcW w:w="1829" w:type="dxa"/>
          </w:tcPr>
          <w:p w14:paraId="41871E8D" w14:textId="77777777" w:rsidR="005B1138" w:rsidRPr="00E07897" w:rsidRDefault="005B1138" w:rsidP="00311051">
            <w:pPr>
              <w:rPr>
                <w:rFonts w:ascii="Calibri" w:hAnsi="Calibri" w:cs="Calibri"/>
                <w:sz w:val="24"/>
                <w:szCs w:val="24"/>
              </w:rPr>
            </w:pPr>
          </w:p>
        </w:tc>
        <w:tc>
          <w:tcPr>
            <w:tcW w:w="4188" w:type="dxa"/>
          </w:tcPr>
          <w:p w14:paraId="77ABEA46" w14:textId="77777777" w:rsidR="005B1138" w:rsidRPr="00E07897" w:rsidRDefault="005B1138" w:rsidP="00311051">
            <w:pPr>
              <w:rPr>
                <w:rFonts w:ascii="Calibri" w:hAnsi="Calibri" w:cs="Calibri"/>
                <w:sz w:val="24"/>
                <w:szCs w:val="24"/>
              </w:rPr>
            </w:pPr>
          </w:p>
        </w:tc>
      </w:tr>
      <w:tr w:rsidR="007C52C0" w:rsidRPr="00E07897" w14:paraId="266BEC2B" w14:textId="77777777" w:rsidTr="00101194">
        <w:tc>
          <w:tcPr>
            <w:tcW w:w="703" w:type="dxa"/>
          </w:tcPr>
          <w:p w14:paraId="67B5F310" w14:textId="03AE46D2" w:rsidR="005B1138" w:rsidRPr="00E07897" w:rsidRDefault="003D7DE4" w:rsidP="00311051">
            <w:pPr>
              <w:rPr>
                <w:rFonts w:ascii="Calibri" w:hAnsi="Calibri" w:cs="Calibri"/>
                <w:sz w:val="24"/>
                <w:szCs w:val="24"/>
              </w:rPr>
            </w:pPr>
            <w:r w:rsidRPr="00E07897">
              <w:rPr>
                <w:rFonts w:ascii="Calibri" w:hAnsi="Calibri" w:cs="Calibri"/>
                <w:sz w:val="24"/>
                <w:szCs w:val="24"/>
              </w:rPr>
              <w:lastRenderedPageBreak/>
              <w:t>2.</w:t>
            </w:r>
          </w:p>
        </w:tc>
        <w:tc>
          <w:tcPr>
            <w:tcW w:w="5174" w:type="dxa"/>
          </w:tcPr>
          <w:p w14:paraId="4A3A89B9" w14:textId="26E37108" w:rsidR="005B1138" w:rsidRPr="00E07897" w:rsidRDefault="0047794B" w:rsidP="0047794B">
            <w:pPr>
              <w:rPr>
                <w:rFonts w:ascii="Calibri" w:eastAsia="Times New Roman" w:hAnsi="Calibri" w:cs="Calibri"/>
                <w:color w:val="000000"/>
                <w:sz w:val="24"/>
                <w:szCs w:val="24"/>
              </w:rPr>
            </w:pPr>
            <w:r w:rsidRPr="00E07897">
              <w:rPr>
                <w:rFonts w:ascii="Calibri" w:hAnsi="Calibri" w:cs="Calibri"/>
                <w:color w:val="000000"/>
                <w:sz w:val="24"/>
                <w:szCs w:val="24"/>
              </w:rPr>
              <w:t>De aanvangsdatum en einddatum, indien van toepassing, van de overeenkomst en de opzeggingstermijnen voor de dienstverlener en de (betaal)instelling</w:t>
            </w:r>
            <w:r w:rsidR="00785D84">
              <w:rPr>
                <w:rFonts w:ascii="Calibri" w:hAnsi="Calibri" w:cs="Calibri"/>
                <w:color w:val="000000"/>
                <w:sz w:val="24"/>
                <w:szCs w:val="24"/>
              </w:rPr>
              <w:t>.</w:t>
            </w:r>
          </w:p>
        </w:tc>
        <w:tc>
          <w:tcPr>
            <w:tcW w:w="1445" w:type="dxa"/>
          </w:tcPr>
          <w:p w14:paraId="42C2610A" w14:textId="77777777" w:rsidR="005B1138" w:rsidRPr="00E07897" w:rsidRDefault="005B1138" w:rsidP="00311051">
            <w:pPr>
              <w:rPr>
                <w:rFonts w:ascii="Calibri" w:hAnsi="Calibri" w:cs="Calibri"/>
                <w:sz w:val="24"/>
                <w:szCs w:val="24"/>
              </w:rPr>
            </w:pPr>
          </w:p>
        </w:tc>
        <w:tc>
          <w:tcPr>
            <w:tcW w:w="1829" w:type="dxa"/>
          </w:tcPr>
          <w:p w14:paraId="36118683" w14:textId="77777777" w:rsidR="005B1138" w:rsidRPr="00E07897" w:rsidRDefault="005B1138" w:rsidP="00311051">
            <w:pPr>
              <w:rPr>
                <w:rFonts w:ascii="Calibri" w:hAnsi="Calibri" w:cs="Calibri"/>
                <w:sz w:val="24"/>
                <w:szCs w:val="24"/>
              </w:rPr>
            </w:pPr>
          </w:p>
        </w:tc>
        <w:tc>
          <w:tcPr>
            <w:tcW w:w="4188" w:type="dxa"/>
          </w:tcPr>
          <w:p w14:paraId="59622D2D" w14:textId="77777777" w:rsidR="005B1138" w:rsidRPr="00E07897" w:rsidRDefault="005B1138" w:rsidP="00311051">
            <w:pPr>
              <w:rPr>
                <w:rFonts w:ascii="Calibri" w:hAnsi="Calibri" w:cs="Calibri"/>
                <w:sz w:val="24"/>
                <w:szCs w:val="24"/>
              </w:rPr>
            </w:pPr>
          </w:p>
        </w:tc>
      </w:tr>
      <w:tr w:rsidR="007C52C0" w:rsidRPr="00E07897" w14:paraId="77D64BA8" w14:textId="77777777" w:rsidTr="00101194">
        <w:tc>
          <w:tcPr>
            <w:tcW w:w="703" w:type="dxa"/>
          </w:tcPr>
          <w:p w14:paraId="154FF8C7" w14:textId="009F557E" w:rsidR="005B1138" w:rsidRPr="00E07897" w:rsidRDefault="0060403A" w:rsidP="00311051">
            <w:pPr>
              <w:rPr>
                <w:rFonts w:ascii="Calibri" w:hAnsi="Calibri" w:cs="Calibri"/>
                <w:sz w:val="24"/>
                <w:szCs w:val="24"/>
              </w:rPr>
            </w:pPr>
            <w:r w:rsidRPr="00E07897">
              <w:rPr>
                <w:rFonts w:ascii="Calibri" w:hAnsi="Calibri" w:cs="Calibri"/>
                <w:sz w:val="24"/>
                <w:szCs w:val="24"/>
              </w:rPr>
              <w:t>3.</w:t>
            </w:r>
          </w:p>
        </w:tc>
        <w:tc>
          <w:tcPr>
            <w:tcW w:w="5174" w:type="dxa"/>
          </w:tcPr>
          <w:p w14:paraId="3807A4E3" w14:textId="38005F4E" w:rsidR="005B1138" w:rsidRPr="00E07897" w:rsidRDefault="0047794B" w:rsidP="00311051">
            <w:pPr>
              <w:rPr>
                <w:rFonts w:ascii="Calibri" w:eastAsia="Times New Roman" w:hAnsi="Calibri" w:cs="Calibri"/>
                <w:color w:val="000000"/>
                <w:sz w:val="24"/>
                <w:szCs w:val="24"/>
              </w:rPr>
            </w:pPr>
            <w:r w:rsidRPr="00E07897">
              <w:rPr>
                <w:rFonts w:ascii="Calibri" w:hAnsi="Calibri" w:cs="Calibri"/>
                <w:color w:val="000000"/>
                <w:sz w:val="24"/>
                <w:szCs w:val="24"/>
              </w:rPr>
              <w:t xml:space="preserve">Het </w:t>
            </w:r>
            <w:r w:rsidR="00935D4D" w:rsidRPr="00E07897">
              <w:rPr>
                <w:rFonts w:ascii="Calibri" w:hAnsi="Calibri" w:cs="Calibri"/>
                <w:color w:val="000000"/>
                <w:sz w:val="24"/>
                <w:szCs w:val="24"/>
              </w:rPr>
              <w:t>toepasselijk</w:t>
            </w:r>
            <w:r w:rsidR="00E623B0">
              <w:rPr>
                <w:rFonts w:ascii="Calibri" w:hAnsi="Calibri" w:cs="Calibri"/>
                <w:color w:val="000000"/>
                <w:sz w:val="24"/>
                <w:szCs w:val="24"/>
              </w:rPr>
              <w:t>e</w:t>
            </w:r>
            <w:r w:rsidR="00935D4D" w:rsidRPr="00E07897">
              <w:rPr>
                <w:rFonts w:ascii="Calibri" w:hAnsi="Calibri" w:cs="Calibri"/>
                <w:color w:val="000000"/>
                <w:sz w:val="24"/>
                <w:szCs w:val="24"/>
              </w:rPr>
              <w:t xml:space="preserve"> recht</w:t>
            </w:r>
            <w:r w:rsidR="00785D84">
              <w:rPr>
                <w:rFonts w:ascii="Calibri" w:hAnsi="Calibri" w:cs="Calibri"/>
                <w:color w:val="000000"/>
                <w:sz w:val="24"/>
                <w:szCs w:val="24"/>
              </w:rPr>
              <w:t>.</w:t>
            </w:r>
          </w:p>
        </w:tc>
        <w:tc>
          <w:tcPr>
            <w:tcW w:w="1445" w:type="dxa"/>
          </w:tcPr>
          <w:p w14:paraId="184D73F4" w14:textId="77777777" w:rsidR="005B1138" w:rsidRPr="00E07897" w:rsidRDefault="005B1138" w:rsidP="00311051">
            <w:pPr>
              <w:rPr>
                <w:rFonts w:ascii="Calibri" w:hAnsi="Calibri" w:cs="Calibri"/>
                <w:sz w:val="24"/>
                <w:szCs w:val="24"/>
              </w:rPr>
            </w:pPr>
          </w:p>
        </w:tc>
        <w:tc>
          <w:tcPr>
            <w:tcW w:w="1829" w:type="dxa"/>
          </w:tcPr>
          <w:p w14:paraId="6E662929" w14:textId="77777777" w:rsidR="005B1138" w:rsidRPr="00E07897" w:rsidRDefault="005B1138" w:rsidP="00311051">
            <w:pPr>
              <w:rPr>
                <w:rFonts w:ascii="Calibri" w:hAnsi="Calibri" w:cs="Calibri"/>
                <w:sz w:val="24"/>
                <w:szCs w:val="24"/>
              </w:rPr>
            </w:pPr>
          </w:p>
        </w:tc>
        <w:tc>
          <w:tcPr>
            <w:tcW w:w="4188" w:type="dxa"/>
          </w:tcPr>
          <w:p w14:paraId="6045FBB5" w14:textId="77777777" w:rsidR="005B1138" w:rsidRPr="00E07897" w:rsidRDefault="005B1138" w:rsidP="00311051">
            <w:pPr>
              <w:rPr>
                <w:rFonts w:ascii="Calibri" w:hAnsi="Calibri" w:cs="Calibri"/>
                <w:sz w:val="24"/>
                <w:szCs w:val="24"/>
              </w:rPr>
            </w:pPr>
          </w:p>
        </w:tc>
      </w:tr>
      <w:tr w:rsidR="007C52C0" w:rsidRPr="00E07897" w14:paraId="2A2DC651" w14:textId="77777777" w:rsidTr="00101194">
        <w:tc>
          <w:tcPr>
            <w:tcW w:w="703" w:type="dxa"/>
          </w:tcPr>
          <w:p w14:paraId="7321645D" w14:textId="34DE7A2D" w:rsidR="005B1138" w:rsidRPr="00E07897" w:rsidRDefault="00843A6E" w:rsidP="00311051">
            <w:pPr>
              <w:rPr>
                <w:rFonts w:ascii="Calibri" w:hAnsi="Calibri" w:cs="Calibri"/>
                <w:sz w:val="24"/>
                <w:szCs w:val="24"/>
              </w:rPr>
            </w:pPr>
            <w:r w:rsidRPr="00E07897">
              <w:rPr>
                <w:rFonts w:ascii="Calibri" w:hAnsi="Calibri" w:cs="Calibri"/>
                <w:sz w:val="24"/>
                <w:szCs w:val="24"/>
              </w:rPr>
              <w:t>4.</w:t>
            </w:r>
          </w:p>
        </w:tc>
        <w:tc>
          <w:tcPr>
            <w:tcW w:w="5174" w:type="dxa"/>
          </w:tcPr>
          <w:p w14:paraId="63143932" w14:textId="435DB07A" w:rsidR="005B1138" w:rsidRPr="00E07897" w:rsidRDefault="002E7211" w:rsidP="00311051">
            <w:pPr>
              <w:rPr>
                <w:rFonts w:ascii="Calibri" w:hAnsi="Calibri" w:cs="Calibri"/>
                <w:sz w:val="24"/>
                <w:szCs w:val="24"/>
              </w:rPr>
            </w:pPr>
            <w:r w:rsidRPr="00E07897">
              <w:rPr>
                <w:rFonts w:ascii="Calibri" w:hAnsi="Calibri" w:cs="Calibri"/>
                <w:sz w:val="24"/>
                <w:szCs w:val="24"/>
              </w:rPr>
              <w:t>Een duidelijke beschrijving van de financiële verplichtingen van de partijen</w:t>
            </w:r>
            <w:r w:rsidR="00785D84">
              <w:rPr>
                <w:rFonts w:ascii="Calibri" w:hAnsi="Calibri" w:cs="Calibri"/>
                <w:sz w:val="24"/>
                <w:szCs w:val="24"/>
              </w:rPr>
              <w:t>.</w:t>
            </w:r>
          </w:p>
        </w:tc>
        <w:tc>
          <w:tcPr>
            <w:tcW w:w="1445" w:type="dxa"/>
          </w:tcPr>
          <w:p w14:paraId="19E32548" w14:textId="77777777" w:rsidR="005B1138" w:rsidRPr="00E07897" w:rsidRDefault="005B1138" w:rsidP="00311051">
            <w:pPr>
              <w:rPr>
                <w:rFonts w:ascii="Calibri" w:hAnsi="Calibri" w:cs="Calibri"/>
                <w:sz w:val="24"/>
                <w:szCs w:val="24"/>
              </w:rPr>
            </w:pPr>
          </w:p>
        </w:tc>
        <w:tc>
          <w:tcPr>
            <w:tcW w:w="1829" w:type="dxa"/>
          </w:tcPr>
          <w:p w14:paraId="3A1A0722" w14:textId="77777777" w:rsidR="005B1138" w:rsidRPr="00E07897" w:rsidRDefault="005B1138" w:rsidP="00311051">
            <w:pPr>
              <w:rPr>
                <w:rFonts w:ascii="Calibri" w:hAnsi="Calibri" w:cs="Calibri"/>
                <w:sz w:val="24"/>
                <w:szCs w:val="24"/>
              </w:rPr>
            </w:pPr>
          </w:p>
        </w:tc>
        <w:tc>
          <w:tcPr>
            <w:tcW w:w="4188" w:type="dxa"/>
          </w:tcPr>
          <w:p w14:paraId="1390843D" w14:textId="77777777" w:rsidR="005B1138" w:rsidRPr="00E07897" w:rsidRDefault="005B1138" w:rsidP="00311051">
            <w:pPr>
              <w:rPr>
                <w:rFonts w:ascii="Calibri" w:hAnsi="Calibri" w:cs="Calibri"/>
                <w:sz w:val="24"/>
                <w:szCs w:val="24"/>
              </w:rPr>
            </w:pPr>
          </w:p>
        </w:tc>
      </w:tr>
      <w:tr w:rsidR="007C52C0" w:rsidRPr="00E07897" w14:paraId="0CAE1BB4" w14:textId="77777777" w:rsidTr="00101194">
        <w:tc>
          <w:tcPr>
            <w:tcW w:w="703" w:type="dxa"/>
          </w:tcPr>
          <w:p w14:paraId="391DE712" w14:textId="442F8E85" w:rsidR="005B1138" w:rsidRPr="00E07897" w:rsidRDefault="00843A6E" w:rsidP="00311051">
            <w:pPr>
              <w:rPr>
                <w:rFonts w:ascii="Calibri" w:hAnsi="Calibri" w:cs="Calibri"/>
                <w:sz w:val="24"/>
                <w:szCs w:val="24"/>
              </w:rPr>
            </w:pPr>
            <w:r w:rsidRPr="00E07897">
              <w:rPr>
                <w:rFonts w:ascii="Calibri" w:hAnsi="Calibri" w:cs="Calibri"/>
                <w:sz w:val="24"/>
                <w:szCs w:val="24"/>
              </w:rPr>
              <w:t>5.</w:t>
            </w:r>
          </w:p>
        </w:tc>
        <w:tc>
          <w:tcPr>
            <w:tcW w:w="5174" w:type="dxa"/>
          </w:tcPr>
          <w:p w14:paraId="4B36689E" w14:textId="7C481AD9" w:rsidR="005B1138" w:rsidRPr="00E07897" w:rsidRDefault="000A1167" w:rsidP="000A1167">
            <w:pPr>
              <w:rPr>
                <w:rFonts w:ascii="Calibri" w:eastAsia="Times New Roman" w:hAnsi="Calibri" w:cs="Calibri"/>
                <w:color w:val="000000"/>
                <w:sz w:val="24"/>
                <w:szCs w:val="24"/>
              </w:rPr>
            </w:pPr>
            <w:r w:rsidRPr="00E07897">
              <w:rPr>
                <w:rFonts w:ascii="Calibri" w:hAnsi="Calibri" w:cs="Calibri"/>
                <w:color w:val="000000"/>
                <w:sz w:val="24"/>
                <w:szCs w:val="24"/>
              </w:rPr>
              <w:t>Waar relevant, bepalingen inzake de toegankelijkheid, beschikbaarheid, integriteit, privacy en veiligheid van de betrokken gegevens</w:t>
            </w:r>
            <w:r w:rsidR="00785D84">
              <w:rPr>
                <w:rFonts w:ascii="Calibri" w:hAnsi="Calibri" w:cs="Calibri"/>
                <w:color w:val="000000"/>
                <w:sz w:val="24"/>
                <w:szCs w:val="24"/>
              </w:rPr>
              <w:t>.</w:t>
            </w:r>
          </w:p>
        </w:tc>
        <w:tc>
          <w:tcPr>
            <w:tcW w:w="1445" w:type="dxa"/>
          </w:tcPr>
          <w:p w14:paraId="01584F64" w14:textId="77777777" w:rsidR="005B1138" w:rsidRPr="00E07897" w:rsidRDefault="005B1138" w:rsidP="00311051">
            <w:pPr>
              <w:rPr>
                <w:rFonts w:ascii="Calibri" w:hAnsi="Calibri" w:cs="Calibri"/>
                <w:sz w:val="24"/>
                <w:szCs w:val="24"/>
              </w:rPr>
            </w:pPr>
          </w:p>
        </w:tc>
        <w:tc>
          <w:tcPr>
            <w:tcW w:w="1829" w:type="dxa"/>
          </w:tcPr>
          <w:p w14:paraId="33EA6893" w14:textId="77777777" w:rsidR="005B1138" w:rsidRPr="00E07897" w:rsidRDefault="005B1138" w:rsidP="00311051">
            <w:pPr>
              <w:rPr>
                <w:rFonts w:ascii="Calibri" w:hAnsi="Calibri" w:cs="Calibri"/>
                <w:sz w:val="24"/>
                <w:szCs w:val="24"/>
              </w:rPr>
            </w:pPr>
          </w:p>
        </w:tc>
        <w:tc>
          <w:tcPr>
            <w:tcW w:w="4188" w:type="dxa"/>
          </w:tcPr>
          <w:p w14:paraId="42BAA08D" w14:textId="77777777" w:rsidR="005B1138" w:rsidRPr="00E07897" w:rsidRDefault="005B1138" w:rsidP="00311051">
            <w:pPr>
              <w:rPr>
                <w:rFonts w:ascii="Calibri" w:hAnsi="Calibri" w:cs="Calibri"/>
                <w:sz w:val="24"/>
                <w:szCs w:val="24"/>
              </w:rPr>
            </w:pPr>
          </w:p>
        </w:tc>
      </w:tr>
      <w:tr w:rsidR="007C52C0" w:rsidRPr="00E07897" w14:paraId="7CAAC072" w14:textId="77777777" w:rsidTr="00101194">
        <w:tc>
          <w:tcPr>
            <w:tcW w:w="703" w:type="dxa"/>
          </w:tcPr>
          <w:p w14:paraId="0E69755A" w14:textId="34FA1508" w:rsidR="005B1138" w:rsidRPr="00E07897" w:rsidRDefault="0031391D" w:rsidP="00311051">
            <w:pPr>
              <w:rPr>
                <w:rFonts w:ascii="Calibri" w:hAnsi="Calibri" w:cs="Calibri"/>
                <w:sz w:val="24"/>
                <w:szCs w:val="24"/>
              </w:rPr>
            </w:pPr>
            <w:r w:rsidRPr="00E07897">
              <w:rPr>
                <w:rFonts w:ascii="Calibri" w:hAnsi="Calibri" w:cs="Calibri"/>
                <w:sz w:val="24"/>
                <w:szCs w:val="24"/>
              </w:rPr>
              <w:t>6.</w:t>
            </w:r>
          </w:p>
        </w:tc>
        <w:tc>
          <w:tcPr>
            <w:tcW w:w="5174" w:type="dxa"/>
          </w:tcPr>
          <w:p w14:paraId="7EC7B091" w14:textId="4FF2964D" w:rsidR="005B1138" w:rsidRPr="00E07897" w:rsidRDefault="00927354" w:rsidP="00927354">
            <w:pPr>
              <w:rPr>
                <w:rFonts w:ascii="Calibri" w:eastAsia="Times New Roman" w:hAnsi="Calibri" w:cs="Calibri"/>
                <w:color w:val="000000"/>
                <w:sz w:val="24"/>
                <w:szCs w:val="24"/>
              </w:rPr>
            </w:pPr>
            <w:r w:rsidRPr="00E07897">
              <w:rPr>
                <w:rFonts w:ascii="Calibri" w:hAnsi="Calibri" w:cs="Calibri"/>
                <w:color w:val="000000"/>
                <w:sz w:val="24"/>
                <w:szCs w:val="24"/>
              </w:rPr>
              <w:t>Het recht van de (betaal)instelling om de prestaties van de dienstverlener doorlopend te bewaken</w:t>
            </w:r>
            <w:r w:rsidR="007376A4">
              <w:rPr>
                <w:rFonts w:ascii="Calibri" w:hAnsi="Calibri" w:cs="Calibri"/>
                <w:color w:val="000000"/>
                <w:sz w:val="24"/>
                <w:szCs w:val="24"/>
              </w:rPr>
              <w:t>.</w:t>
            </w:r>
          </w:p>
        </w:tc>
        <w:tc>
          <w:tcPr>
            <w:tcW w:w="1445" w:type="dxa"/>
          </w:tcPr>
          <w:p w14:paraId="4DCDB7B1" w14:textId="77777777" w:rsidR="005B1138" w:rsidRPr="00E07897" w:rsidRDefault="005B1138" w:rsidP="00311051">
            <w:pPr>
              <w:rPr>
                <w:rFonts w:ascii="Calibri" w:hAnsi="Calibri" w:cs="Calibri"/>
                <w:sz w:val="24"/>
                <w:szCs w:val="24"/>
              </w:rPr>
            </w:pPr>
          </w:p>
        </w:tc>
        <w:tc>
          <w:tcPr>
            <w:tcW w:w="1829" w:type="dxa"/>
          </w:tcPr>
          <w:p w14:paraId="680CD571" w14:textId="77777777" w:rsidR="005B1138" w:rsidRPr="00E07897" w:rsidRDefault="005B1138" w:rsidP="00311051">
            <w:pPr>
              <w:rPr>
                <w:rFonts w:ascii="Calibri" w:hAnsi="Calibri" w:cs="Calibri"/>
                <w:sz w:val="24"/>
                <w:szCs w:val="24"/>
              </w:rPr>
            </w:pPr>
          </w:p>
        </w:tc>
        <w:tc>
          <w:tcPr>
            <w:tcW w:w="4188" w:type="dxa"/>
          </w:tcPr>
          <w:p w14:paraId="4F654F94" w14:textId="77777777" w:rsidR="005B1138" w:rsidRPr="00E07897" w:rsidRDefault="005B1138" w:rsidP="00311051">
            <w:pPr>
              <w:rPr>
                <w:rFonts w:ascii="Calibri" w:hAnsi="Calibri" w:cs="Calibri"/>
                <w:sz w:val="24"/>
                <w:szCs w:val="24"/>
              </w:rPr>
            </w:pPr>
          </w:p>
        </w:tc>
      </w:tr>
      <w:tr w:rsidR="007C52C0" w:rsidRPr="00E07897" w14:paraId="08A5B0A1" w14:textId="77777777" w:rsidTr="00101194">
        <w:tc>
          <w:tcPr>
            <w:tcW w:w="703" w:type="dxa"/>
          </w:tcPr>
          <w:p w14:paraId="56D7DD25" w14:textId="4EE114ED" w:rsidR="005B1138" w:rsidRPr="00E07897" w:rsidRDefault="0031391D" w:rsidP="00311051">
            <w:pPr>
              <w:rPr>
                <w:rFonts w:ascii="Calibri" w:hAnsi="Calibri" w:cs="Calibri"/>
                <w:sz w:val="24"/>
                <w:szCs w:val="24"/>
              </w:rPr>
            </w:pPr>
            <w:r w:rsidRPr="00E07897">
              <w:rPr>
                <w:rFonts w:ascii="Calibri" w:hAnsi="Calibri" w:cs="Calibri"/>
                <w:sz w:val="24"/>
                <w:szCs w:val="24"/>
              </w:rPr>
              <w:t>7.</w:t>
            </w:r>
          </w:p>
        </w:tc>
        <w:tc>
          <w:tcPr>
            <w:tcW w:w="5174" w:type="dxa"/>
          </w:tcPr>
          <w:p w14:paraId="324BBA7F" w14:textId="287CE5B6" w:rsidR="005B1138" w:rsidRPr="00E07897" w:rsidRDefault="00927354" w:rsidP="00311051">
            <w:pPr>
              <w:rPr>
                <w:rFonts w:ascii="Calibri" w:eastAsia="Times New Roman" w:hAnsi="Calibri" w:cs="Calibri"/>
                <w:color w:val="000000"/>
                <w:sz w:val="24"/>
                <w:szCs w:val="24"/>
              </w:rPr>
            </w:pPr>
            <w:r w:rsidRPr="00E07897">
              <w:rPr>
                <w:rFonts w:ascii="Calibri" w:hAnsi="Calibri" w:cs="Calibri"/>
                <w:color w:val="000000"/>
                <w:sz w:val="24"/>
                <w:szCs w:val="24"/>
              </w:rPr>
              <w:t xml:space="preserve">De overeengekomen </w:t>
            </w:r>
            <w:r w:rsidR="00641D88" w:rsidRPr="00E07897">
              <w:rPr>
                <w:rFonts w:ascii="Calibri" w:hAnsi="Calibri" w:cs="Calibri"/>
                <w:color w:val="000000"/>
                <w:sz w:val="24"/>
                <w:szCs w:val="24"/>
              </w:rPr>
              <w:t>niveaus van dienstverlening (service levels), die nauwkeurige kwantitatieve en kwalitatieve prestatiedoelen voor de uitbestede functie omvatten</w:t>
            </w:r>
            <w:r w:rsidR="007376A4">
              <w:rPr>
                <w:rFonts w:ascii="Calibri" w:hAnsi="Calibri" w:cs="Calibri"/>
                <w:color w:val="000000"/>
                <w:sz w:val="24"/>
                <w:szCs w:val="24"/>
              </w:rPr>
              <w:t>.</w:t>
            </w:r>
          </w:p>
        </w:tc>
        <w:tc>
          <w:tcPr>
            <w:tcW w:w="1445" w:type="dxa"/>
          </w:tcPr>
          <w:p w14:paraId="1E3E5CC0" w14:textId="77777777" w:rsidR="005B1138" w:rsidRPr="00E07897" w:rsidRDefault="005B1138" w:rsidP="00311051">
            <w:pPr>
              <w:rPr>
                <w:rFonts w:ascii="Calibri" w:hAnsi="Calibri" w:cs="Calibri"/>
                <w:sz w:val="24"/>
                <w:szCs w:val="24"/>
              </w:rPr>
            </w:pPr>
          </w:p>
        </w:tc>
        <w:tc>
          <w:tcPr>
            <w:tcW w:w="1829" w:type="dxa"/>
          </w:tcPr>
          <w:p w14:paraId="5978F795" w14:textId="77777777" w:rsidR="005B1138" w:rsidRPr="00E07897" w:rsidRDefault="005B1138" w:rsidP="00311051">
            <w:pPr>
              <w:rPr>
                <w:rFonts w:ascii="Calibri" w:hAnsi="Calibri" w:cs="Calibri"/>
                <w:sz w:val="24"/>
                <w:szCs w:val="24"/>
              </w:rPr>
            </w:pPr>
          </w:p>
        </w:tc>
        <w:tc>
          <w:tcPr>
            <w:tcW w:w="4188" w:type="dxa"/>
          </w:tcPr>
          <w:p w14:paraId="10BEF40F" w14:textId="77777777" w:rsidR="005B1138" w:rsidRPr="00E07897" w:rsidRDefault="005B1138" w:rsidP="00311051">
            <w:pPr>
              <w:rPr>
                <w:rFonts w:ascii="Calibri" w:hAnsi="Calibri" w:cs="Calibri"/>
                <w:sz w:val="24"/>
                <w:szCs w:val="24"/>
              </w:rPr>
            </w:pPr>
          </w:p>
        </w:tc>
      </w:tr>
      <w:tr w:rsidR="007C52C0" w:rsidRPr="00E07897" w14:paraId="7BD61E6D" w14:textId="77777777" w:rsidTr="00101194">
        <w:tc>
          <w:tcPr>
            <w:tcW w:w="703" w:type="dxa"/>
          </w:tcPr>
          <w:p w14:paraId="3C8DCA5F" w14:textId="269DDBBB" w:rsidR="005B1138" w:rsidRPr="00E07897" w:rsidRDefault="005E7B51" w:rsidP="00311051">
            <w:pPr>
              <w:rPr>
                <w:rFonts w:ascii="Calibri" w:hAnsi="Calibri" w:cs="Calibri"/>
                <w:sz w:val="24"/>
                <w:szCs w:val="24"/>
              </w:rPr>
            </w:pPr>
            <w:r w:rsidRPr="00E07897">
              <w:rPr>
                <w:rFonts w:ascii="Calibri" w:hAnsi="Calibri" w:cs="Calibri"/>
                <w:sz w:val="24"/>
                <w:szCs w:val="24"/>
              </w:rPr>
              <w:t>8.</w:t>
            </w:r>
          </w:p>
        </w:tc>
        <w:tc>
          <w:tcPr>
            <w:tcW w:w="5174" w:type="dxa"/>
          </w:tcPr>
          <w:p w14:paraId="26996279" w14:textId="5A853382" w:rsidR="005B1138" w:rsidRPr="00E07897" w:rsidRDefault="000C5F6E" w:rsidP="00311051">
            <w:pPr>
              <w:rPr>
                <w:rFonts w:ascii="Calibri" w:eastAsia="Times New Roman" w:hAnsi="Calibri" w:cs="Calibri"/>
                <w:color w:val="000000"/>
                <w:sz w:val="24"/>
                <w:szCs w:val="24"/>
              </w:rPr>
            </w:pPr>
            <w:r w:rsidRPr="00E07897">
              <w:rPr>
                <w:rFonts w:ascii="Calibri" w:hAnsi="Calibri" w:cs="Calibri"/>
                <w:color w:val="000000"/>
                <w:sz w:val="24"/>
                <w:szCs w:val="24"/>
              </w:rPr>
              <w:t>De rapportage</w:t>
            </w:r>
            <w:r w:rsidR="00003CF1" w:rsidRPr="00E07897">
              <w:rPr>
                <w:rFonts w:ascii="Calibri" w:hAnsi="Calibri" w:cs="Calibri"/>
                <w:color w:val="000000"/>
                <w:sz w:val="24"/>
                <w:szCs w:val="24"/>
              </w:rPr>
              <w:t>verplichtingen van de dienstverlener aan de (betaal)instelling</w:t>
            </w:r>
            <w:r w:rsidR="007376A4">
              <w:rPr>
                <w:rFonts w:ascii="Calibri" w:hAnsi="Calibri" w:cs="Calibri"/>
                <w:color w:val="000000"/>
                <w:sz w:val="24"/>
                <w:szCs w:val="24"/>
              </w:rPr>
              <w:t>.</w:t>
            </w:r>
            <w:r w:rsidR="00003CF1" w:rsidRPr="00E07897">
              <w:rPr>
                <w:rFonts w:ascii="Calibri" w:hAnsi="Calibri" w:cs="Calibri"/>
                <w:color w:val="000000"/>
                <w:sz w:val="24"/>
                <w:szCs w:val="24"/>
              </w:rPr>
              <w:t xml:space="preserve"> </w:t>
            </w:r>
          </w:p>
        </w:tc>
        <w:tc>
          <w:tcPr>
            <w:tcW w:w="1445" w:type="dxa"/>
          </w:tcPr>
          <w:p w14:paraId="65638C21" w14:textId="77777777" w:rsidR="005B1138" w:rsidRPr="00E07897" w:rsidRDefault="005B1138" w:rsidP="00311051">
            <w:pPr>
              <w:rPr>
                <w:rFonts w:ascii="Calibri" w:hAnsi="Calibri" w:cs="Calibri"/>
                <w:sz w:val="24"/>
                <w:szCs w:val="24"/>
              </w:rPr>
            </w:pPr>
          </w:p>
        </w:tc>
        <w:tc>
          <w:tcPr>
            <w:tcW w:w="1829" w:type="dxa"/>
          </w:tcPr>
          <w:p w14:paraId="3703B577" w14:textId="77777777" w:rsidR="005B1138" w:rsidRPr="00E07897" w:rsidRDefault="005B1138" w:rsidP="00311051">
            <w:pPr>
              <w:rPr>
                <w:rFonts w:ascii="Calibri" w:hAnsi="Calibri" w:cs="Calibri"/>
                <w:sz w:val="24"/>
                <w:szCs w:val="24"/>
              </w:rPr>
            </w:pPr>
          </w:p>
        </w:tc>
        <w:tc>
          <w:tcPr>
            <w:tcW w:w="4188" w:type="dxa"/>
          </w:tcPr>
          <w:p w14:paraId="24556A27" w14:textId="77777777" w:rsidR="005B1138" w:rsidRPr="00E07897" w:rsidRDefault="005B1138" w:rsidP="00311051">
            <w:pPr>
              <w:rPr>
                <w:rFonts w:ascii="Calibri" w:hAnsi="Calibri" w:cs="Calibri"/>
                <w:sz w:val="24"/>
                <w:szCs w:val="24"/>
              </w:rPr>
            </w:pPr>
          </w:p>
        </w:tc>
      </w:tr>
      <w:tr w:rsidR="007C52C0" w:rsidRPr="00E07897" w14:paraId="34E8FB38" w14:textId="77777777" w:rsidTr="00101194">
        <w:tc>
          <w:tcPr>
            <w:tcW w:w="703" w:type="dxa"/>
          </w:tcPr>
          <w:p w14:paraId="5D80127A" w14:textId="219491F7" w:rsidR="005B1138" w:rsidRPr="00E07897" w:rsidRDefault="005E7B51" w:rsidP="00311051">
            <w:pPr>
              <w:rPr>
                <w:rFonts w:ascii="Calibri" w:hAnsi="Calibri" w:cs="Calibri"/>
                <w:sz w:val="24"/>
                <w:szCs w:val="24"/>
              </w:rPr>
            </w:pPr>
            <w:r w:rsidRPr="00E07897">
              <w:rPr>
                <w:rFonts w:ascii="Calibri" w:hAnsi="Calibri" w:cs="Calibri"/>
                <w:sz w:val="24"/>
                <w:szCs w:val="24"/>
              </w:rPr>
              <w:t>9.</w:t>
            </w:r>
          </w:p>
        </w:tc>
        <w:tc>
          <w:tcPr>
            <w:tcW w:w="5174" w:type="dxa"/>
          </w:tcPr>
          <w:p w14:paraId="1551C2F1" w14:textId="4315EB80" w:rsidR="005B1138" w:rsidRPr="00E07897" w:rsidRDefault="004520A4" w:rsidP="004520A4">
            <w:pPr>
              <w:rPr>
                <w:rFonts w:ascii="Calibri" w:eastAsia="Times New Roman" w:hAnsi="Calibri" w:cs="Calibri"/>
                <w:color w:val="000000"/>
                <w:sz w:val="24"/>
                <w:szCs w:val="24"/>
              </w:rPr>
            </w:pPr>
            <w:r w:rsidRPr="00E07897">
              <w:rPr>
                <w:rFonts w:ascii="Calibri" w:hAnsi="Calibri" w:cs="Calibri"/>
                <w:color w:val="000000"/>
                <w:sz w:val="24"/>
                <w:szCs w:val="24"/>
              </w:rPr>
              <w:t>Of de dienstverlener zich verplicht tegen bepaalde risico's dient te verzekeren en, indien van toepassing, de vereiste hoogte van de verzekeringsdekking</w:t>
            </w:r>
            <w:r w:rsidR="007376A4">
              <w:rPr>
                <w:rFonts w:ascii="Calibri" w:hAnsi="Calibri" w:cs="Calibri"/>
                <w:color w:val="000000"/>
                <w:sz w:val="24"/>
                <w:szCs w:val="24"/>
              </w:rPr>
              <w:t>.</w:t>
            </w:r>
          </w:p>
        </w:tc>
        <w:tc>
          <w:tcPr>
            <w:tcW w:w="1445" w:type="dxa"/>
          </w:tcPr>
          <w:p w14:paraId="7CB04B3F" w14:textId="77777777" w:rsidR="005B1138" w:rsidRPr="00E07897" w:rsidRDefault="005B1138" w:rsidP="00311051">
            <w:pPr>
              <w:rPr>
                <w:rFonts w:ascii="Calibri" w:hAnsi="Calibri" w:cs="Calibri"/>
                <w:sz w:val="24"/>
                <w:szCs w:val="24"/>
              </w:rPr>
            </w:pPr>
          </w:p>
        </w:tc>
        <w:tc>
          <w:tcPr>
            <w:tcW w:w="1829" w:type="dxa"/>
          </w:tcPr>
          <w:p w14:paraId="1243BCD4" w14:textId="77777777" w:rsidR="005B1138" w:rsidRPr="00E07897" w:rsidRDefault="005B1138" w:rsidP="00311051">
            <w:pPr>
              <w:rPr>
                <w:rFonts w:ascii="Calibri" w:hAnsi="Calibri" w:cs="Calibri"/>
                <w:sz w:val="24"/>
                <w:szCs w:val="24"/>
              </w:rPr>
            </w:pPr>
          </w:p>
        </w:tc>
        <w:tc>
          <w:tcPr>
            <w:tcW w:w="4188" w:type="dxa"/>
          </w:tcPr>
          <w:p w14:paraId="4BAFDE1E" w14:textId="77777777" w:rsidR="005B1138" w:rsidRPr="00E07897" w:rsidRDefault="005B1138" w:rsidP="00311051">
            <w:pPr>
              <w:rPr>
                <w:rFonts w:ascii="Calibri" w:hAnsi="Calibri" w:cs="Calibri"/>
                <w:sz w:val="24"/>
                <w:szCs w:val="24"/>
              </w:rPr>
            </w:pPr>
          </w:p>
        </w:tc>
      </w:tr>
      <w:tr w:rsidR="007C52C0" w:rsidRPr="00E07897" w14:paraId="173BE0EC" w14:textId="77777777" w:rsidTr="00101194">
        <w:tc>
          <w:tcPr>
            <w:tcW w:w="703" w:type="dxa"/>
          </w:tcPr>
          <w:p w14:paraId="00EF3173" w14:textId="7EDE3D09" w:rsidR="005B1138" w:rsidRPr="00E07897" w:rsidRDefault="00BA7790" w:rsidP="00311051">
            <w:pPr>
              <w:rPr>
                <w:rFonts w:ascii="Calibri" w:hAnsi="Calibri" w:cs="Calibri"/>
                <w:sz w:val="24"/>
                <w:szCs w:val="24"/>
              </w:rPr>
            </w:pPr>
            <w:r w:rsidRPr="00E07897">
              <w:rPr>
                <w:rFonts w:ascii="Calibri" w:hAnsi="Calibri" w:cs="Calibri"/>
                <w:sz w:val="24"/>
                <w:szCs w:val="24"/>
              </w:rPr>
              <w:t>10.</w:t>
            </w:r>
          </w:p>
        </w:tc>
        <w:tc>
          <w:tcPr>
            <w:tcW w:w="5174" w:type="dxa"/>
          </w:tcPr>
          <w:p w14:paraId="7348A685" w14:textId="3AF86F35" w:rsidR="005B1138" w:rsidRPr="00E07897" w:rsidRDefault="00F859F8" w:rsidP="00311051">
            <w:pPr>
              <w:rPr>
                <w:rFonts w:ascii="Calibri" w:eastAsia="Times New Roman" w:hAnsi="Calibri" w:cs="Calibri"/>
                <w:color w:val="000000"/>
                <w:sz w:val="24"/>
                <w:szCs w:val="24"/>
              </w:rPr>
            </w:pPr>
            <w:r w:rsidRPr="00E07897">
              <w:rPr>
                <w:rFonts w:ascii="Calibri" w:hAnsi="Calibri" w:cs="Calibri"/>
                <w:color w:val="000000"/>
                <w:sz w:val="24"/>
                <w:szCs w:val="24"/>
              </w:rPr>
              <w:t>De verplichting om bedrijfsnoodplannen ten uitvoer te leggen en te testen</w:t>
            </w:r>
            <w:r w:rsidR="007376A4">
              <w:rPr>
                <w:rFonts w:ascii="Calibri" w:hAnsi="Calibri" w:cs="Calibri"/>
                <w:color w:val="000000"/>
                <w:sz w:val="24"/>
                <w:szCs w:val="24"/>
              </w:rPr>
              <w:t>.</w:t>
            </w:r>
          </w:p>
        </w:tc>
        <w:tc>
          <w:tcPr>
            <w:tcW w:w="1445" w:type="dxa"/>
          </w:tcPr>
          <w:p w14:paraId="452940CA" w14:textId="77777777" w:rsidR="005B1138" w:rsidRPr="00E07897" w:rsidRDefault="005B1138" w:rsidP="00311051">
            <w:pPr>
              <w:rPr>
                <w:rFonts w:ascii="Calibri" w:hAnsi="Calibri" w:cs="Calibri"/>
                <w:sz w:val="24"/>
                <w:szCs w:val="24"/>
              </w:rPr>
            </w:pPr>
          </w:p>
        </w:tc>
        <w:tc>
          <w:tcPr>
            <w:tcW w:w="1829" w:type="dxa"/>
          </w:tcPr>
          <w:p w14:paraId="5AA77028" w14:textId="77777777" w:rsidR="005B1138" w:rsidRPr="00E07897" w:rsidRDefault="005B1138" w:rsidP="00311051">
            <w:pPr>
              <w:rPr>
                <w:rFonts w:ascii="Calibri" w:hAnsi="Calibri" w:cs="Calibri"/>
                <w:sz w:val="24"/>
                <w:szCs w:val="24"/>
              </w:rPr>
            </w:pPr>
          </w:p>
        </w:tc>
        <w:tc>
          <w:tcPr>
            <w:tcW w:w="4188" w:type="dxa"/>
          </w:tcPr>
          <w:p w14:paraId="64868226" w14:textId="77777777" w:rsidR="005B1138" w:rsidRPr="00E07897" w:rsidRDefault="005B1138" w:rsidP="00311051">
            <w:pPr>
              <w:rPr>
                <w:rFonts w:ascii="Calibri" w:hAnsi="Calibri" w:cs="Calibri"/>
                <w:sz w:val="24"/>
                <w:szCs w:val="24"/>
              </w:rPr>
            </w:pPr>
          </w:p>
        </w:tc>
      </w:tr>
      <w:tr w:rsidR="007C52C0" w:rsidRPr="00E07897" w14:paraId="5C90D8A1" w14:textId="77777777" w:rsidTr="00101194">
        <w:tc>
          <w:tcPr>
            <w:tcW w:w="703" w:type="dxa"/>
          </w:tcPr>
          <w:p w14:paraId="30C5EDC9" w14:textId="6924B9E4" w:rsidR="005B1138" w:rsidRPr="00E07897" w:rsidRDefault="00BA7790" w:rsidP="00311051">
            <w:pPr>
              <w:rPr>
                <w:rFonts w:ascii="Calibri" w:hAnsi="Calibri" w:cs="Calibri"/>
                <w:sz w:val="24"/>
                <w:szCs w:val="24"/>
              </w:rPr>
            </w:pPr>
            <w:r w:rsidRPr="00E07897">
              <w:rPr>
                <w:rFonts w:ascii="Calibri" w:hAnsi="Calibri" w:cs="Calibri"/>
                <w:sz w:val="24"/>
                <w:szCs w:val="24"/>
              </w:rPr>
              <w:t>11.</w:t>
            </w:r>
          </w:p>
        </w:tc>
        <w:tc>
          <w:tcPr>
            <w:tcW w:w="5174" w:type="dxa"/>
          </w:tcPr>
          <w:p w14:paraId="34400652" w14:textId="67CF18B2" w:rsidR="005B1138" w:rsidRPr="00E07897" w:rsidRDefault="00322383" w:rsidP="00322383">
            <w:pPr>
              <w:rPr>
                <w:rFonts w:ascii="Calibri" w:eastAsia="Times New Roman" w:hAnsi="Calibri" w:cs="Calibri"/>
                <w:color w:val="000000"/>
                <w:sz w:val="24"/>
                <w:szCs w:val="24"/>
              </w:rPr>
            </w:pPr>
            <w:r w:rsidRPr="00E07897">
              <w:rPr>
                <w:rFonts w:ascii="Calibri" w:hAnsi="Calibri" w:cs="Calibri"/>
                <w:color w:val="000000"/>
                <w:sz w:val="24"/>
                <w:szCs w:val="24"/>
              </w:rPr>
              <w:t xml:space="preserve">Bepalingen die ervoor zorgen dat toegang kan worden verkregen in de gegevens die het eigendom van de (betaal)instelling zijn, wanneer </w:t>
            </w:r>
            <w:r w:rsidRPr="00E07897">
              <w:rPr>
                <w:rFonts w:ascii="Calibri" w:hAnsi="Calibri" w:cs="Calibri"/>
                <w:color w:val="000000"/>
                <w:sz w:val="24"/>
                <w:szCs w:val="24"/>
              </w:rPr>
              <w:lastRenderedPageBreak/>
              <w:t>de dienstverlener insolvent is, zich in een afwikkelingsproces bevindt of zijn bedrijfsactiviteiten beëindigt</w:t>
            </w:r>
            <w:r w:rsidR="007376A4">
              <w:rPr>
                <w:rFonts w:ascii="Calibri" w:hAnsi="Calibri" w:cs="Calibri"/>
                <w:color w:val="000000"/>
                <w:sz w:val="24"/>
                <w:szCs w:val="24"/>
              </w:rPr>
              <w:t>.</w:t>
            </w:r>
          </w:p>
        </w:tc>
        <w:tc>
          <w:tcPr>
            <w:tcW w:w="1445" w:type="dxa"/>
          </w:tcPr>
          <w:p w14:paraId="173F4A83" w14:textId="77777777" w:rsidR="005B1138" w:rsidRPr="00E07897" w:rsidRDefault="005B1138" w:rsidP="00311051">
            <w:pPr>
              <w:rPr>
                <w:rFonts w:ascii="Calibri" w:hAnsi="Calibri" w:cs="Calibri"/>
                <w:sz w:val="24"/>
                <w:szCs w:val="24"/>
              </w:rPr>
            </w:pPr>
          </w:p>
        </w:tc>
        <w:tc>
          <w:tcPr>
            <w:tcW w:w="1829" w:type="dxa"/>
          </w:tcPr>
          <w:p w14:paraId="721A4B71" w14:textId="77777777" w:rsidR="005B1138" w:rsidRPr="00E07897" w:rsidRDefault="005B1138" w:rsidP="00311051">
            <w:pPr>
              <w:rPr>
                <w:rFonts w:ascii="Calibri" w:hAnsi="Calibri" w:cs="Calibri"/>
                <w:sz w:val="24"/>
                <w:szCs w:val="24"/>
              </w:rPr>
            </w:pPr>
          </w:p>
        </w:tc>
        <w:tc>
          <w:tcPr>
            <w:tcW w:w="4188" w:type="dxa"/>
          </w:tcPr>
          <w:p w14:paraId="75CD35AB" w14:textId="77777777" w:rsidR="005B1138" w:rsidRPr="00E07897" w:rsidRDefault="005B1138" w:rsidP="00311051">
            <w:pPr>
              <w:rPr>
                <w:rFonts w:ascii="Calibri" w:hAnsi="Calibri" w:cs="Calibri"/>
                <w:sz w:val="24"/>
                <w:szCs w:val="24"/>
              </w:rPr>
            </w:pPr>
          </w:p>
        </w:tc>
      </w:tr>
      <w:tr w:rsidR="007C52C0" w:rsidRPr="00E07897" w14:paraId="6392DD8C" w14:textId="77777777" w:rsidTr="00101194">
        <w:tc>
          <w:tcPr>
            <w:tcW w:w="703" w:type="dxa"/>
          </w:tcPr>
          <w:p w14:paraId="242AAA58" w14:textId="33EBE26E" w:rsidR="005B1138" w:rsidRPr="00E07897" w:rsidRDefault="005C3F13" w:rsidP="00311051">
            <w:pPr>
              <w:rPr>
                <w:rFonts w:ascii="Calibri" w:hAnsi="Calibri" w:cs="Calibri"/>
                <w:sz w:val="24"/>
                <w:szCs w:val="24"/>
              </w:rPr>
            </w:pPr>
            <w:r w:rsidRPr="00E07897">
              <w:rPr>
                <w:rFonts w:ascii="Calibri" w:hAnsi="Calibri" w:cs="Calibri"/>
                <w:sz w:val="24"/>
                <w:szCs w:val="24"/>
              </w:rPr>
              <w:t>12.</w:t>
            </w:r>
          </w:p>
        </w:tc>
        <w:tc>
          <w:tcPr>
            <w:tcW w:w="5174" w:type="dxa"/>
          </w:tcPr>
          <w:p w14:paraId="13D5AB4B" w14:textId="674AF5B9" w:rsidR="005B1138" w:rsidRPr="00E07897" w:rsidRDefault="00595085" w:rsidP="00595085">
            <w:pPr>
              <w:rPr>
                <w:rFonts w:ascii="Calibri" w:eastAsia="Times New Roman" w:hAnsi="Calibri" w:cs="Calibri"/>
                <w:color w:val="000000"/>
                <w:sz w:val="24"/>
                <w:szCs w:val="24"/>
              </w:rPr>
            </w:pPr>
            <w:r w:rsidRPr="00E07897">
              <w:rPr>
                <w:rFonts w:ascii="Calibri" w:hAnsi="Calibri" w:cs="Calibri"/>
                <w:color w:val="000000"/>
                <w:sz w:val="24"/>
                <w:szCs w:val="24"/>
              </w:rPr>
              <w:t xml:space="preserve">De verplichting van de dienstverlener om met de </w:t>
            </w:r>
            <w:r w:rsidR="0099638E" w:rsidRPr="00E07897">
              <w:rPr>
                <w:rFonts w:ascii="Calibri" w:hAnsi="Calibri" w:cs="Calibri"/>
                <w:color w:val="000000"/>
                <w:sz w:val="24"/>
                <w:szCs w:val="24"/>
              </w:rPr>
              <w:t>toezichthouders</w:t>
            </w:r>
            <w:r w:rsidRPr="00E07897">
              <w:rPr>
                <w:rFonts w:ascii="Calibri" w:hAnsi="Calibri" w:cs="Calibri"/>
                <w:color w:val="000000"/>
                <w:sz w:val="24"/>
                <w:szCs w:val="24"/>
              </w:rPr>
              <w:t xml:space="preserve"> en afwikkelingsautoriteiten van de (betaal)instelling samen te werken, met inbegrip van andere personen die door hen zijn aangewezen</w:t>
            </w:r>
            <w:r w:rsidR="007376A4">
              <w:rPr>
                <w:rFonts w:ascii="Calibri" w:hAnsi="Calibri" w:cs="Calibri"/>
                <w:color w:val="000000"/>
                <w:sz w:val="24"/>
                <w:szCs w:val="24"/>
              </w:rPr>
              <w:t>.</w:t>
            </w:r>
          </w:p>
        </w:tc>
        <w:tc>
          <w:tcPr>
            <w:tcW w:w="1445" w:type="dxa"/>
          </w:tcPr>
          <w:p w14:paraId="07190E01" w14:textId="77777777" w:rsidR="005B1138" w:rsidRPr="00E07897" w:rsidRDefault="005B1138" w:rsidP="00311051">
            <w:pPr>
              <w:rPr>
                <w:rFonts w:ascii="Calibri" w:hAnsi="Calibri" w:cs="Calibri"/>
                <w:sz w:val="24"/>
                <w:szCs w:val="24"/>
              </w:rPr>
            </w:pPr>
          </w:p>
        </w:tc>
        <w:tc>
          <w:tcPr>
            <w:tcW w:w="1829" w:type="dxa"/>
          </w:tcPr>
          <w:p w14:paraId="673AE0DA" w14:textId="77777777" w:rsidR="005B1138" w:rsidRPr="00E07897" w:rsidRDefault="005B1138" w:rsidP="00311051">
            <w:pPr>
              <w:rPr>
                <w:rFonts w:ascii="Calibri" w:hAnsi="Calibri" w:cs="Calibri"/>
                <w:sz w:val="24"/>
                <w:szCs w:val="24"/>
              </w:rPr>
            </w:pPr>
          </w:p>
        </w:tc>
        <w:tc>
          <w:tcPr>
            <w:tcW w:w="4188" w:type="dxa"/>
          </w:tcPr>
          <w:p w14:paraId="58D0F6A4" w14:textId="77777777" w:rsidR="005B1138" w:rsidRPr="00E07897" w:rsidRDefault="005B1138" w:rsidP="00311051">
            <w:pPr>
              <w:rPr>
                <w:rFonts w:ascii="Calibri" w:hAnsi="Calibri" w:cs="Calibri"/>
                <w:sz w:val="24"/>
                <w:szCs w:val="24"/>
              </w:rPr>
            </w:pPr>
          </w:p>
        </w:tc>
      </w:tr>
      <w:tr w:rsidR="007C52C0" w:rsidRPr="00E07897" w14:paraId="0E0D3372" w14:textId="77777777" w:rsidTr="00101194">
        <w:tc>
          <w:tcPr>
            <w:tcW w:w="703" w:type="dxa"/>
          </w:tcPr>
          <w:p w14:paraId="53314EDB" w14:textId="299DB9FC" w:rsidR="005B1138" w:rsidRPr="00E07897" w:rsidRDefault="005C3F13" w:rsidP="00311051">
            <w:pPr>
              <w:rPr>
                <w:rFonts w:ascii="Calibri" w:hAnsi="Calibri" w:cs="Calibri"/>
                <w:sz w:val="24"/>
                <w:szCs w:val="24"/>
              </w:rPr>
            </w:pPr>
            <w:r w:rsidRPr="00E07897">
              <w:rPr>
                <w:rFonts w:ascii="Calibri" w:hAnsi="Calibri" w:cs="Calibri"/>
                <w:sz w:val="24"/>
                <w:szCs w:val="24"/>
              </w:rPr>
              <w:t>13.</w:t>
            </w:r>
          </w:p>
        </w:tc>
        <w:tc>
          <w:tcPr>
            <w:tcW w:w="5174" w:type="dxa"/>
          </w:tcPr>
          <w:p w14:paraId="25AAF9FB" w14:textId="3742699E" w:rsidR="005B1138" w:rsidRPr="00E07897" w:rsidRDefault="001E093E" w:rsidP="001E093E">
            <w:pPr>
              <w:rPr>
                <w:rFonts w:ascii="Calibri" w:eastAsia="Times New Roman" w:hAnsi="Calibri" w:cs="Calibri"/>
                <w:color w:val="000000"/>
                <w:sz w:val="24"/>
                <w:szCs w:val="24"/>
              </w:rPr>
            </w:pPr>
            <w:r w:rsidRPr="00E07897">
              <w:rPr>
                <w:rFonts w:ascii="Calibri" w:hAnsi="Calibri" w:cs="Calibri"/>
                <w:color w:val="000000"/>
                <w:sz w:val="24"/>
                <w:szCs w:val="24"/>
              </w:rPr>
              <w:t>Voor instellingen een duidelijke verwijzing naar de bevoegdheden van de nationale afwikkelingsautoriteit, vooral naar de artikelen 68 en 71 van Richtlijn 2014/59/EU (BRRD), en met name een beschrijving van de “materiële verplichtingen” van het contract in de zin van artikel 68 van die richtlijn</w:t>
            </w:r>
            <w:r w:rsidR="00B5412E">
              <w:rPr>
                <w:rFonts w:ascii="Calibri" w:hAnsi="Calibri" w:cs="Calibri"/>
                <w:color w:val="000000"/>
                <w:sz w:val="24"/>
                <w:szCs w:val="24"/>
              </w:rPr>
              <w:t>.</w:t>
            </w:r>
          </w:p>
        </w:tc>
        <w:tc>
          <w:tcPr>
            <w:tcW w:w="1445" w:type="dxa"/>
          </w:tcPr>
          <w:p w14:paraId="2B44E488" w14:textId="77777777" w:rsidR="005B1138" w:rsidRPr="00E07897" w:rsidRDefault="005B1138" w:rsidP="00311051">
            <w:pPr>
              <w:rPr>
                <w:rFonts w:ascii="Calibri" w:hAnsi="Calibri" w:cs="Calibri"/>
                <w:sz w:val="24"/>
                <w:szCs w:val="24"/>
              </w:rPr>
            </w:pPr>
          </w:p>
        </w:tc>
        <w:tc>
          <w:tcPr>
            <w:tcW w:w="1829" w:type="dxa"/>
          </w:tcPr>
          <w:p w14:paraId="0D0000CA" w14:textId="77777777" w:rsidR="005B1138" w:rsidRPr="00E07897" w:rsidRDefault="005B1138" w:rsidP="00311051">
            <w:pPr>
              <w:rPr>
                <w:rFonts w:ascii="Calibri" w:hAnsi="Calibri" w:cs="Calibri"/>
                <w:sz w:val="24"/>
                <w:szCs w:val="24"/>
              </w:rPr>
            </w:pPr>
          </w:p>
        </w:tc>
        <w:tc>
          <w:tcPr>
            <w:tcW w:w="4188" w:type="dxa"/>
          </w:tcPr>
          <w:p w14:paraId="542AEE84" w14:textId="77777777" w:rsidR="005B1138" w:rsidRPr="00E07897" w:rsidRDefault="005B1138" w:rsidP="00311051">
            <w:pPr>
              <w:rPr>
                <w:rFonts w:ascii="Calibri" w:hAnsi="Calibri" w:cs="Calibri"/>
                <w:sz w:val="24"/>
                <w:szCs w:val="24"/>
              </w:rPr>
            </w:pPr>
          </w:p>
        </w:tc>
      </w:tr>
      <w:tr w:rsidR="007C52C0" w:rsidRPr="00E07897" w14:paraId="772B1AC2" w14:textId="77777777" w:rsidTr="00101194">
        <w:tc>
          <w:tcPr>
            <w:tcW w:w="703" w:type="dxa"/>
          </w:tcPr>
          <w:p w14:paraId="37CF4411" w14:textId="24BCEF3C" w:rsidR="005B1138" w:rsidRPr="00E07897" w:rsidRDefault="00744387" w:rsidP="00311051">
            <w:pPr>
              <w:rPr>
                <w:rFonts w:ascii="Calibri" w:hAnsi="Calibri" w:cs="Calibri"/>
                <w:sz w:val="24"/>
                <w:szCs w:val="24"/>
              </w:rPr>
            </w:pPr>
            <w:r w:rsidRPr="00E07897">
              <w:rPr>
                <w:rFonts w:ascii="Calibri" w:hAnsi="Calibri" w:cs="Calibri"/>
                <w:sz w:val="24"/>
                <w:szCs w:val="24"/>
              </w:rPr>
              <w:t>14.</w:t>
            </w:r>
          </w:p>
        </w:tc>
        <w:tc>
          <w:tcPr>
            <w:tcW w:w="5174" w:type="dxa"/>
          </w:tcPr>
          <w:p w14:paraId="257306AF" w14:textId="09DA9982" w:rsidR="005B1138" w:rsidRPr="00E07897" w:rsidRDefault="009C5F99" w:rsidP="009C5F99">
            <w:pPr>
              <w:rPr>
                <w:rFonts w:ascii="Calibri" w:eastAsia="Times New Roman" w:hAnsi="Calibri" w:cs="Calibri"/>
                <w:color w:val="000000"/>
                <w:sz w:val="24"/>
                <w:szCs w:val="24"/>
              </w:rPr>
            </w:pPr>
            <w:r w:rsidRPr="00E07897">
              <w:rPr>
                <w:rFonts w:ascii="Calibri" w:hAnsi="Calibri" w:cs="Calibri"/>
                <w:color w:val="000000"/>
                <w:sz w:val="24"/>
                <w:szCs w:val="24"/>
              </w:rPr>
              <w:t xml:space="preserve">Het onbeperkte recht van (betaal)instellingen en </w:t>
            </w:r>
            <w:r w:rsidR="0099638E" w:rsidRPr="00E07897">
              <w:rPr>
                <w:rFonts w:ascii="Calibri" w:hAnsi="Calibri" w:cs="Calibri"/>
                <w:color w:val="000000"/>
                <w:sz w:val="24"/>
                <w:szCs w:val="24"/>
              </w:rPr>
              <w:t>toezichthouders</w:t>
            </w:r>
            <w:r w:rsidRPr="00E07897">
              <w:rPr>
                <w:rFonts w:ascii="Calibri" w:hAnsi="Calibri" w:cs="Calibri"/>
                <w:color w:val="000000"/>
                <w:sz w:val="24"/>
                <w:szCs w:val="24"/>
              </w:rPr>
              <w:t xml:space="preserve"> om de dienstverlener te inspecteren en te controleren, vooral als het gaat om kritieke of belangrijke uitbestede functie</w:t>
            </w:r>
            <w:r w:rsidR="003A70B0" w:rsidRPr="00E07897">
              <w:rPr>
                <w:rFonts w:ascii="Calibri" w:hAnsi="Calibri" w:cs="Calibri"/>
                <w:color w:val="000000"/>
                <w:sz w:val="24"/>
                <w:szCs w:val="24"/>
              </w:rPr>
              <w:t>s</w:t>
            </w:r>
            <w:r w:rsidR="00CF05E0" w:rsidRPr="00E07897">
              <w:rPr>
                <w:rFonts w:ascii="Calibri" w:hAnsi="Calibri" w:cs="Calibri"/>
                <w:color w:val="000000"/>
                <w:sz w:val="24"/>
                <w:szCs w:val="24"/>
              </w:rPr>
              <w:t xml:space="preserve">, </w:t>
            </w:r>
            <w:r w:rsidR="00CB2CF5" w:rsidRPr="00E07897">
              <w:rPr>
                <w:rFonts w:ascii="Calibri" w:hAnsi="Calibri" w:cs="Calibri"/>
                <w:color w:val="000000"/>
                <w:sz w:val="24"/>
                <w:szCs w:val="24"/>
              </w:rPr>
              <w:t>inclusief</w:t>
            </w:r>
            <w:r w:rsidR="002216BC" w:rsidRPr="00E07897">
              <w:rPr>
                <w:rFonts w:ascii="Calibri" w:hAnsi="Calibri" w:cs="Calibri"/>
                <w:color w:val="000000"/>
                <w:sz w:val="24"/>
                <w:szCs w:val="24"/>
              </w:rPr>
              <w:t xml:space="preserve"> contractuele toegangs- en auditrechten aan de (betaal)instelling en haar </w:t>
            </w:r>
            <w:r w:rsidR="0099638E" w:rsidRPr="00E07897">
              <w:rPr>
                <w:rFonts w:ascii="Calibri" w:hAnsi="Calibri" w:cs="Calibri"/>
                <w:color w:val="000000"/>
                <w:sz w:val="24"/>
                <w:szCs w:val="24"/>
              </w:rPr>
              <w:t>toezichthouders</w:t>
            </w:r>
            <w:r w:rsidR="00B5412E">
              <w:rPr>
                <w:rFonts w:ascii="Calibri" w:hAnsi="Calibri" w:cs="Calibri"/>
                <w:color w:val="000000"/>
                <w:sz w:val="24"/>
                <w:szCs w:val="24"/>
              </w:rPr>
              <w:t>.</w:t>
            </w:r>
          </w:p>
        </w:tc>
        <w:tc>
          <w:tcPr>
            <w:tcW w:w="1445" w:type="dxa"/>
          </w:tcPr>
          <w:p w14:paraId="48D43E7E" w14:textId="77777777" w:rsidR="005B1138" w:rsidRPr="00E07897" w:rsidRDefault="005B1138" w:rsidP="00311051">
            <w:pPr>
              <w:rPr>
                <w:rFonts w:ascii="Calibri" w:hAnsi="Calibri" w:cs="Calibri"/>
                <w:sz w:val="24"/>
                <w:szCs w:val="24"/>
              </w:rPr>
            </w:pPr>
          </w:p>
        </w:tc>
        <w:tc>
          <w:tcPr>
            <w:tcW w:w="1829" w:type="dxa"/>
          </w:tcPr>
          <w:p w14:paraId="116E363A" w14:textId="77777777" w:rsidR="005B1138" w:rsidRPr="00E07897" w:rsidRDefault="005B1138" w:rsidP="00311051">
            <w:pPr>
              <w:rPr>
                <w:rFonts w:ascii="Calibri" w:hAnsi="Calibri" w:cs="Calibri"/>
                <w:sz w:val="24"/>
                <w:szCs w:val="24"/>
              </w:rPr>
            </w:pPr>
          </w:p>
        </w:tc>
        <w:tc>
          <w:tcPr>
            <w:tcW w:w="4188" w:type="dxa"/>
          </w:tcPr>
          <w:p w14:paraId="4C23095D" w14:textId="77777777" w:rsidR="005B1138" w:rsidRPr="00E07897" w:rsidRDefault="005B1138" w:rsidP="00311051">
            <w:pPr>
              <w:rPr>
                <w:rFonts w:ascii="Calibri" w:hAnsi="Calibri" w:cs="Calibri"/>
                <w:sz w:val="24"/>
                <w:szCs w:val="24"/>
              </w:rPr>
            </w:pPr>
          </w:p>
        </w:tc>
      </w:tr>
      <w:tr w:rsidR="007C52C0" w:rsidRPr="00E07897" w14:paraId="0338354C" w14:textId="77777777" w:rsidTr="00101194">
        <w:tc>
          <w:tcPr>
            <w:tcW w:w="703" w:type="dxa"/>
          </w:tcPr>
          <w:p w14:paraId="4A9D8730" w14:textId="6B82506B" w:rsidR="005B1138" w:rsidRPr="00E07897" w:rsidRDefault="00EC01B5" w:rsidP="00311051">
            <w:pPr>
              <w:rPr>
                <w:rFonts w:ascii="Calibri" w:hAnsi="Calibri" w:cs="Calibri"/>
                <w:sz w:val="24"/>
                <w:szCs w:val="24"/>
              </w:rPr>
            </w:pPr>
            <w:r w:rsidRPr="00E07897">
              <w:rPr>
                <w:rFonts w:ascii="Calibri" w:hAnsi="Calibri" w:cs="Calibri"/>
                <w:sz w:val="24"/>
                <w:szCs w:val="24"/>
              </w:rPr>
              <w:t>15.</w:t>
            </w:r>
          </w:p>
        </w:tc>
        <w:tc>
          <w:tcPr>
            <w:tcW w:w="5174" w:type="dxa"/>
          </w:tcPr>
          <w:p w14:paraId="18582A83" w14:textId="4B3D3470" w:rsidR="005B1138" w:rsidRPr="00E07897" w:rsidRDefault="006727DA" w:rsidP="00311051">
            <w:pPr>
              <w:rPr>
                <w:rFonts w:ascii="Calibri" w:eastAsia="Times New Roman" w:hAnsi="Calibri" w:cs="Calibri"/>
                <w:color w:val="000000"/>
                <w:sz w:val="24"/>
                <w:szCs w:val="24"/>
              </w:rPr>
            </w:pPr>
            <w:r w:rsidRPr="00E07897">
              <w:rPr>
                <w:rFonts w:ascii="Calibri" w:hAnsi="Calibri" w:cs="Calibri"/>
                <w:color w:val="000000"/>
                <w:sz w:val="24"/>
                <w:szCs w:val="24"/>
              </w:rPr>
              <w:t>Beëindigingsrechten</w:t>
            </w:r>
            <w:r w:rsidR="00EC01B5" w:rsidRPr="00E07897">
              <w:rPr>
                <w:rFonts w:ascii="Calibri" w:hAnsi="Calibri" w:cs="Calibri"/>
                <w:color w:val="000000"/>
                <w:sz w:val="24"/>
                <w:szCs w:val="24"/>
              </w:rPr>
              <w:t xml:space="preserve">, </w:t>
            </w:r>
            <w:r w:rsidRPr="00E07897">
              <w:rPr>
                <w:rFonts w:ascii="Calibri" w:hAnsi="Calibri" w:cs="Calibri"/>
                <w:color w:val="000000"/>
                <w:sz w:val="24"/>
                <w:szCs w:val="24"/>
              </w:rPr>
              <w:t>die tenminst</w:t>
            </w:r>
            <w:r w:rsidR="00F457BA" w:rsidRPr="00E07897">
              <w:rPr>
                <w:rFonts w:ascii="Calibri" w:hAnsi="Calibri" w:cs="Calibri"/>
                <w:color w:val="000000"/>
                <w:sz w:val="24"/>
                <w:szCs w:val="24"/>
              </w:rPr>
              <w:t>e van toepassing moeten zijn in de volgende situaties</w:t>
            </w:r>
            <w:r w:rsidR="00EC01B5" w:rsidRPr="00E07897">
              <w:rPr>
                <w:rFonts w:ascii="Calibri" w:hAnsi="Calibri" w:cs="Calibri"/>
                <w:color w:val="000000"/>
                <w:sz w:val="24"/>
                <w:szCs w:val="24"/>
              </w:rPr>
              <w:t>:</w:t>
            </w:r>
          </w:p>
        </w:tc>
        <w:tc>
          <w:tcPr>
            <w:tcW w:w="1445" w:type="dxa"/>
          </w:tcPr>
          <w:p w14:paraId="0963908D" w14:textId="77777777" w:rsidR="005B1138" w:rsidRPr="00E07897" w:rsidRDefault="005B1138" w:rsidP="00311051">
            <w:pPr>
              <w:rPr>
                <w:rFonts w:ascii="Calibri" w:hAnsi="Calibri" w:cs="Calibri"/>
                <w:sz w:val="24"/>
                <w:szCs w:val="24"/>
              </w:rPr>
            </w:pPr>
          </w:p>
        </w:tc>
        <w:tc>
          <w:tcPr>
            <w:tcW w:w="1829" w:type="dxa"/>
          </w:tcPr>
          <w:p w14:paraId="4BAD2419" w14:textId="77777777" w:rsidR="005B1138" w:rsidRPr="00E07897" w:rsidRDefault="005B1138" w:rsidP="00311051">
            <w:pPr>
              <w:rPr>
                <w:rFonts w:ascii="Calibri" w:hAnsi="Calibri" w:cs="Calibri"/>
                <w:sz w:val="24"/>
                <w:szCs w:val="24"/>
              </w:rPr>
            </w:pPr>
          </w:p>
        </w:tc>
        <w:tc>
          <w:tcPr>
            <w:tcW w:w="4188" w:type="dxa"/>
          </w:tcPr>
          <w:p w14:paraId="4C4EB9BC" w14:textId="77777777" w:rsidR="005B1138" w:rsidRPr="00E07897" w:rsidRDefault="005B1138" w:rsidP="00311051">
            <w:pPr>
              <w:rPr>
                <w:rFonts w:ascii="Calibri" w:hAnsi="Calibri" w:cs="Calibri"/>
                <w:sz w:val="24"/>
                <w:szCs w:val="24"/>
              </w:rPr>
            </w:pPr>
          </w:p>
        </w:tc>
      </w:tr>
      <w:tr w:rsidR="007C52C0" w:rsidRPr="00E07897" w14:paraId="1B88159A" w14:textId="77777777" w:rsidTr="00101194">
        <w:tc>
          <w:tcPr>
            <w:tcW w:w="703" w:type="dxa"/>
          </w:tcPr>
          <w:p w14:paraId="3DBDE0DE" w14:textId="348513A7" w:rsidR="005B1138" w:rsidRPr="00E07897" w:rsidRDefault="00EC01B5" w:rsidP="00311051">
            <w:pPr>
              <w:rPr>
                <w:rFonts w:ascii="Calibri" w:hAnsi="Calibri" w:cs="Calibri"/>
                <w:sz w:val="24"/>
                <w:szCs w:val="24"/>
              </w:rPr>
            </w:pPr>
            <w:r w:rsidRPr="00E07897">
              <w:rPr>
                <w:rFonts w:ascii="Calibri" w:hAnsi="Calibri" w:cs="Calibri"/>
                <w:sz w:val="24"/>
                <w:szCs w:val="24"/>
              </w:rPr>
              <w:t>15a.</w:t>
            </w:r>
          </w:p>
        </w:tc>
        <w:tc>
          <w:tcPr>
            <w:tcW w:w="5174" w:type="dxa"/>
          </w:tcPr>
          <w:p w14:paraId="38686A8F" w14:textId="6DDE27AB" w:rsidR="005B1138" w:rsidRPr="00E07897" w:rsidRDefault="00742509" w:rsidP="00311051">
            <w:pPr>
              <w:rPr>
                <w:rFonts w:ascii="Calibri" w:eastAsia="Times New Roman" w:hAnsi="Calibri" w:cs="Calibri"/>
                <w:color w:val="000000"/>
                <w:sz w:val="24"/>
                <w:szCs w:val="24"/>
              </w:rPr>
            </w:pPr>
            <w:r w:rsidRPr="00E07897">
              <w:rPr>
                <w:rFonts w:ascii="Calibri" w:hAnsi="Calibri" w:cs="Calibri"/>
                <w:color w:val="000000"/>
                <w:sz w:val="24"/>
                <w:szCs w:val="24"/>
              </w:rPr>
              <w:t>w</w:t>
            </w:r>
            <w:r w:rsidR="00B70E38" w:rsidRPr="00E07897">
              <w:rPr>
                <w:rFonts w:ascii="Calibri" w:hAnsi="Calibri" w:cs="Calibri"/>
                <w:color w:val="000000"/>
                <w:sz w:val="24"/>
                <w:szCs w:val="24"/>
              </w:rPr>
              <w:t>anneer de dienstverlener de geldende wet- en regelgeving of</w:t>
            </w:r>
            <w:r w:rsidRPr="00E07897">
              <w:rPr>
                <w:rFonts w:ascii="Calibri" w:hAnsi="Calibri" w:cs="Calibri"/>
                <w:color w:val="000000"/>
                <w:sz w:val="24"/>
                <w:szCs w:val="24"/>
              </w:rPr>
              <w:t xml:space="preserve"> </w:t>
            </w:r>
            <w:r w:rsidR="00B70E38" w:rsidRPr="00E07897">
              <w:rPr>
                <w:rFonts w:ascii="Calibri" w:hAnsi="Calibri" w:cs="Calibri"/>
                <w:color w:val="000000"/>
                <w:sz w:val="24"/>
                <w:szCs w:val="24"/>
              </w:rPr>
              <w:t xml:space="preserve">contractuele </w:t>
            </w:r>
            <w:r w:rsidRPr="00E07897">
              <w:rPr>
                <w:rFonts w:ascii="Calibri" w:hAnsi="Calibri" w:cs="Calibri"/>
                <w:color w:val="000000"/>
                <w:sz w:val="24"/>
                <w:szCs w:val="24"/>
              </w:rPr>
              <w:t>bepalingen overtreedt</w:t>
            </w:r>
            <w:r w:rsidR="00352C93" w:rsidRPr="00E07897">
              <w:rPr>
                <w:rFonts w:ascii="Calibri" w:hAnsi="Calibri" w:cs="Calibri"/>
                <w:color w:val="000000"/>
                <w:sz w:val="24"/>
                <w:szCs w:val="24"/>
              </w:rPr>
              <w:t>;</w:t>
            </w:r>
          </w:p>
        </w:tc>
        <w:tc>
          <w:tcPr>
            <w:tcW w:w="1445" w:type="dxa"/>
          </w:tcPr>
          <w:p w14:paraId="18CCB57C" w14:textId="77777777" w:rsidR="005B1138" w:rsidRPr="00E07897" w:rsidRDefault="005B1138" w:rsidP="00311051">
            <w:pPr>
              <w:rPr>
                <w:rFonts w:ascii="Calibri" w:hAnsi="Calibri" w:cs="Calibri"/>
                <w:sz w:val="24"/>
                <w:szCs w:val="24"/>
              </w:rPr>
            </w:pPr>
          </w:p>
        </w:tc>
        <w:tc>
          <w:tcPr>
            <w:tcW w:w="1829" w:type="dxa"/>
          </w:tcPr>
          <w:p w14:paraId="005B1F1B" w14:textId="77777777" w:rsidR="005B1138" w:rsidRPr="00E07897" w:rsidRDefault="005B1138" w:rsidP="00311051">
            <w:pPr>
              <w:rPr>
                <w:rFonts w:ascii="Calibri" w:hAnsi="Calibri" w:cs="Calibri"/>
                <w:sz w:val="24"/>
                <w:szCs w:val="24"/>
              </w:rPr>
            </w:pPr>
          </w:p>
        </w:tc>
        <w:tc>
          <w:tcPr>
            <w:tcW w:w="4188" w:type="dxa"/>
          </w:tcPr>
          <w:p w14:paraId="42C5061B" w14:textId="77777777" w:rsidR="005B1138" w:rsidRPr="00E07897" w:rsidRDefault="005B1138" w:rsidP="00311051">
            <w:pPr>
              <w:rPr>
                <w:rFonts w:ascii="Calibri" w:hAnsi="Calibri" w:cs="Calibri"/>
                <w:sz w:val="24"/>
                <w:szCs w:val="24"/>
              </w:rPr>
            </w:pPr>
          </w:p>
        </w:tc>
      </w:tr>
      <w:tr w:rsidR="007C52C0" w:rsidRPr="00E07897" w14:paraId="0B0F3907" w14:textId="77777777" w:rsidTr="00101194">
        <w:tc>
          <w:tcPr>
            <w:tcW w:w="703" w:type="dxa"/>
          </w:tcPr>
          <w:p w14:paraId="09C05AAC" w14:textId="522FC8D8" w:rsidR="00EC01B5" w:rsidRPr="00E07897" w:rsidRDefault="00EC01B5" w:rsidP="00311051">
            <w:pPr>
              <w:rPr>
                <w:rFonts w:ascii="Calibri" w:hAnsi="Calibri" w:cs="Calibri"/>
                <w:sz w:val="24"/>
                <w:szCs w:val="24"/>
              </w:rPr>
            </w:pPr>
            <w:r w:rsidRPr="00E07897">
              <w:rPr>
                <w:rFonts w:ascii="Calibri" w:hAnsi="Calibri" w:cs="Calibri"/>
                <w:sz w:val="24"/>
                <w:szCs w:val="24"/>
              </w:rPr>
              <w:t>15b.</w:t>
            </w:r>
          </w:p>
        </w:tc>
        <w:tc>
          <w:tcPr>
            <w:tcW w:w="5174" w:type="dxa"/>
          </w:tcPr>
          <w:p w14:paraId="33633ED8" w14:textId="39BBD8AC" w:rsidR="00EC01B5" w:rsidRPr="00E07897" w:rsidRDefault="00F97AF2" w:rsidP="00F97AF2">
            <w:pPr>
              <w:rPr>
                <w:rFonts w:ascii="Calibri" w:eastAsia="Times New Roman" w:hAnsi="Calibri" w:cs="Calibri"/>
                <w:color w:val="000000"/>
                <w:sz w:val="24"/>
                <w:szCs w:val="24"/>
              </w:rPr>
            </w:pPr>
            <w:r w:rsidRPr="00E07897">
              <w:rPr>
                <w:rFonts w:ascii="Calibri" w:hAnsi="Calibri" w:cs="Calibri"/>
                <w:color w:val="000000"/>
                <w:sz w:val="24"/>
                <w:szCs w:val="24"/>
              </w:rPr>
              <w:t xml:space="preserve">wanneer er belemmeringen worden geconstateerd waardoor het mogelijk is dat er </w:t>
            </w:r>
            <w:r w:rsidRPr="00E07897">
              <w:rPr>
                <w:rFonts w:ascii="Calibri" w:hAnsi="Calibri" w:cs="Calibri"/>
                <w:color w:val="000000"/>
                <w:sz w:val="24"/>
                <w:szCs w:val="24"/>
              </w:rPr>
              <w:lastRenderedPageBreak/>
              <w:t>veranderingen in de uitvoering van de uitbestede functie optreden</w:t>
            </w:r>
            <w:r w:rsidR="00352C93" w:rsidRPr="00E07897">
              <w:rPr>
                <w:rFonts w:ascii="Calibri" w:hAnsi="Calibri" w:cs="Calibri"/>
                <w:color w:val="000000"/>
                <w:sz w:val="24"/>
                <w:szCs w:val="24"/>
              </w:rPr>
              <w:t>;</w:t>
            </w:r>
          </w:p>
        </w:tc>
        <w:tc>
          <w:tcPr>
            <w:tcW w:w="1445" w:type="dxa"/>
          </w:tcPr>
          <w:p w14:paraId="016EAD74" w14:textId="77777777" w:rsidR="00EC01B5" w:rsidRPr="00E07897" w:rsidRDefault="00EC01B5" w:rsidP="00311051">
            <w:pPr>
              <w:rPr>
                <w:rFonts w:ascii="Calibri" w:hAnsi="Calibri" w:cs="Calibri"/>
                <w:sz w:val="24"/>
                <w:szCs w:val="24"/>
              </w:rPr>
            </w:pPr>
          </w:p>
        </w:tc>
        <w:tc>
          <w:tcPr>
            <w:tcW w:w="1829" w:type="dxa"/>
          </w:tcPr>
          <w:p w14:paraId="0E00EB79" w14:textId="77777777" w:rsidR="00EC01B5" w:rsidRPr="00E07897" w:rsidRDefault="00EC01B5" w:rsidP="00311051">
            <w:pPr>
              <w:rPr>
                <w:rFonts w:ascii="Calibri" w:hAnsi="Calibri" w:cs="Calibri"/>
                <w:sz w:val="24"/>
                <w:szCs w:val="24"/>
              </w:rPr>
            </w:pPr>
          </w:p>
        </w:tc>
        <w:tc>
          <w:tcPr>
            <w:tcW w:w="4188" w:type="dxa"/>
          </w:tcPr>
          <w:p w14:paraId="54563A81" w14:textId="77777777" w:rsidR="00EC01B5" w:rsidRPr="00E07897" w:rsidRDefault="00EC01B5" w:rsidP="00311051">
            <w:pPr>
              <w:rPr>
                <w:rFonts w:ascii="Calibri" w:hAnsi="Calibri" w:cs="Calibri"/>
                <w:sz w:val="24"/>
                <w:szCs w:val="24"/>
              </w:rPr>
            </w:pPr>
          </w:p>
        </w:tc>
      </w:tr>
      <w:tr w:rsidR="007C52C0" w:rsidRPr="00E07897" w14:paraId="1500751A" w14:textId="77777777" w:rsidTr="00101194">
        <w:tc>
          <w:tcPr>
            <w:tcW w:w="703" w:type="dxa"/>
          </w:tcPr>
          <w:p w14:paraId="0ECACB73" w14:textId="527CD047" w:rsidR="00EC01B5" w:rsidRPr="00E07897" w:rsidRDefault="00EC01B5" w:rsidP="00311051">
            <w:pPr>
              <w:rPr>
                <w:rFonts w:ascii="Calibri" w:hAnsi="Calibri" w:cs="Calibri"/>
                <w:sz w:val="24"/>
                <w:szCs w:val="24"/>
              </w:rPr>
            </w:pPr>
            <w:r w:rsidRPr="00E07897">
              <w:rPr>
                <w:rFonts w:ascii="Calibri" w:hAnsi="Calibri" w:cs="Calibri"/>
                <w:sz w:val="24"/>
                <w:szCs w:val="24"/>
              </w:rPr>
              <w:t>15c.</w:t>
            </w:r>
          </w:p>
        </w:tc>
        <w:tc>
          <w:tcPr>
            <w:tcW w:w="5174" w:type="dxa"/>
          </w:tcPr>
          <w:p w14:paraId="14EBABA3" w14:textId="4437E480" w:rsidR="00EC01B5" w:rsidRPr="00E07897" w:rsidRDefault="00741B8B" w:rsidP="00741B8B">
            <w:pPr>
              <w:rPr>
                <w:rFonts w:ascii="Calibri" w:eastAsia="Times New Roman" w:hAnsi="Calibri" w:cs="Calibri"/>
                <w:color w:val="000000"/>
                <w:sz w:val="24"/>
                <w:szCs w:val="24"/>
              </w:rPr>
            </w:pPr>
            <w:r w:rsidRPr="00E07897">
              <w:rPr>
                <w:rFonts w:ascii="Calibri" w:hAnsi="Calibri" w:cs="Calibri"/>
                <w:color w:val="000000"/>
                <w:sz w:val="24"/>
                <w:szCs w:val="24"/>
              </w:rPr>
              <w:t xml:space="preserve">wanneer er sprake is van materiële wijzigingen die gevolgen hebben voor de uitbestedingsregeling of de dienstverlener (bijv.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of wijzigingen </w:t>
            </w:r>
            <w:r w:rsidR="000A6C7B" w:rsidRPr="00E07897">
              <w:rPr>
                <w:rFonts w:ascii="Calibri" w:hAnsi="Calibri" w:cs="Calibri"/>
                <w:color w:val="000000"/>
                <w:sz w:val="24"/>
                <w:szCs w:val="24"/>
              </w:rPr>
              <w:t>van</w:t>
            </w:r>
            <w:r w:rsidRPr="00E07897">
              <w:rPr>
                <w:rFonts w:ascii="Calibri" w:hAnsi="Calibri" w:cs="Calibri"/>
                <w:color w:val="000000"/>
                <w:sz w:val="24"/>
                <w:szCs w:val="24"/>
              </w:rPr>
              <w:t xml:space="preserve"> onderaannemers);</w:t>
            </w:r>
          </w:p>
        </w:tc>
        <w:tc>
          <w:tcPr>
            <w:tcW w:w="1445" w:type="dxa"/>
          </w:tcPr>
          <w:p w14:paraId="302440D1" w14:textId="77777777" w:rsidR="00EC01B5" w:rsidRPr="00E07897" w:rsidRDefault="00EC01B5" w:rsidP="00311051">
            <w:pPr>
              <w:rPr>
                <w:rFonts w:ascii="Calibri" w:hAnsi="Calibri" w:cs="Calibri"/>
                <w:sz w:val="24"/>
                <w:szCs w:val="24"/>
              </w:rPr>
            </w:pPr>
          </w:p>
        </w:tc>
        <w:tc>
          <w:tcPr>
            <w:tcW w:w="1829" w:type="dxa"/>
          </w:tcPr>
          <w:p w14:paraId="79D75908" w14:textId="77777777" w:rsidR="00EC01B5" w:rsidRPr="00E07897" w:rsidRDefault="00EC01B5" w:rsidP="00311051">
            <w:pPr>
              <w:rPr>
                <w:rFonts w:ascii="Calibri" w:hAnsi="Calibri" w:cs="Calibri"/>
                <w:sz w:val="24"/>
                <w:szCs w:val="24"/>
              </w:rPr>
            </w:pPr>
          </w:p>
        </w:tc>
        <w:tc>
          <w:tcPr>
            <w:tcW w:w="4188" w:type="dxa"/>
          </w:tcPr>
          <w:p w14:paraId="557F7035" w14:textId="77777777" w:rsidR="00EC01B5" w:rsidRPr="00E07897" w:rsidRDefault="00EC01B5" w:rsidP="00311051">
            <w:pPr>
              <w:rPr>
                <w:rFonts w:ascii="Calibri" w:hAnsi="Calibri" w:cs="Calibri"/>
                <w:sz w:val="24"/>
                <w:szCs w:val="24"/>
              </w:rPr>
            </w:pPr>
          </w:p>
        </w:tc>
      </w:tr>
      <w:tr w:rsidR="007C52C0" w:rsidRPr="00E07897" w14:paraId="2B707C84" w14:textId="77777777" w:rsidTr="00101194">
        <w:tc>
          <w:tcPr>
            <w:tcW w:w="703" w:type="dxa"/>
          </w:tcPr>
          <w:p w14:paraId="39DE813C" w14:textId="0E84B54B" w:rsidR="00EC01B5" w:rsidRPr="00E07897" w:rsidRDefault="00352C93" w:rsidP="00311051">
            <w:pPr>
              <w:rPr>
                <w:rFonts w:ascii="Calibri" w:hAnsi="Calibri" w:cs="Calibri"/>
                <w:sz w:val="24"/>
                <w:szCs w:val="24"/>
              </w:rPr>
            </w:pPr>
            <w:r w:rsidRPr="00E07897">
              <w:rPr>
                <w:rFonts w:ascii="Calibri" w:hAnsi="Calibri" w:cs="Calibri"/>
                <w:sz w:val="24"/>
                <w:szCs w:val="24"/>
              </w:rPr>
              <w:t>15d.</w:t>
            </w:r>
          </w:p>
        </w:tc>
        <w:tc>
          <w:tcPr>
            <w:tcW w:w="5174" w:type="dxa"/>
          </w:tcPr>
          <w:p w14:paraId="2810A487" w14:textId="089C2009" w:rsidR="00EC01B5" w:rsidRPr="00E07897" w:rsidRDefault="000A6C7B" w:rsidP="000A6C7B">
            <w:pPr>
              <w:rPr>
                <w:rFonts w:ascii="Calibri" w:hAnsi="Calibri" w:cs="Calibri"/>
                <w:sz w:val="24"/>
                <w:szCs w:val="24"/>
              </w:rPr>
            </w:pPr>
            <w:r w:rsidRPr="00E07897">
              <w:rPr>
                <w:rFonts w:ascii="Calibri" w:hAnsi="Calibri" w:cs="Calibri"/>
                <w:color w:val="000000"/>
                <w:sz w:val="24"/>
                <w:szCs w:val="24"/>
              </w:rPr>
              <w:t>wanneer er zwakke punten zijn als het gaat om het beheer en de beveiliging van vertrouwelijke, persoonlijke of anderszins gevoelige gegevens of informatie; en</w:t>
            </w:r>
          </w:p>
        </w:tc>
        <w:tc>
          <w:tcPr>
            <w:tcW w:w="1445" w:type="dxa"/>
          </w:tcPr>
          <w:p w14:paraId="21849EB2" w14:textId="77777777" w:rsidR="00EC01B5" w:rsidRPr="00E07897" w:rsidRDefault="00EC01B5" w:rsidP="00311051">
            <w:pPr>
              <w:rPr>
                <w:rFonts w:ascii="Calibri" w:hAnsi="Calibri" w:cs="Calibri"/>
                <w:sz w:val="24"/>
                <w:szCs w:val="24"/>
              </w:rPr>
            </w:pPr>
          </w:p>
        </w:tc>
        <w:tc>
          <w:tcPr>
            <w:tcW w:w="1829" w:type="dxa"/>
          </w:tcPr>
          <w:p w14:paraId="77C8C95C" w14:textId="77777777" w:rsidR="00EC01B5" w:rsidRPr="00E07897" w:rsidRDefault="00EC01B5" w:rsidP="00311051">
            <w:pPr>
              <w:rPr>
                <w:rFonts w:ascii="Calibri" w:hAnsi="Calibri" w:cs="Calibri"/>
                <w:sz w:val="24"/>
                <w:szCs w:val="24"/>
              </w:rPr>
            </w:pPr>
          </w:p>
        </w:tc>
        <w:tc>
          <w:tcPr>
            <w:tcW w:w="4188" w:type="dxa"/>
          </w:tcPr>
          <w:p w14:paraId="6CE1BF30" w14:textId="77777777" w:rsidR="00EC01B5" w:rsidRPr="00E07897" w:rsidRDefault="00EC01B5" w:rsidP="00311051">
            <w:pPr>
              <w:rPr>
                <w:rFonts w:ascii="Calibri" w:hAnsi="Calibri" w:cs="Calibri"/>
                <w:sz w:val="24"/>
                <w:szCs w:val="24"/>
              </w:rPr>
            </w:pPr>
          </w:p>
        </w:tc>
      </w:tr>
      <w:tr w:rsidR="007C52C0" w:rsidRPr="00E07897" w14:paraId="6E1E3890" w14:textId="77777777" w:rsidTr="00101194">
        <w:tc>
          <w:tcPr>
            <w:tcW w:w="703" w:type="dxa"/>
          </w:tcPr>
          <w:p w14:paraId="325DC753" w14:textId="414AE154" w:rsidR="00EC01B5" w:rsidRPr="00E07897" w:rsidRDefault="007B7778" w:rsidP="00311051">
            <w:pPr>
              <w:rPr>
                <w:rFonts w:ascii="Calibri" w:hAnsi="Calibri" w:cs="Calibri"/>
                <w:sz w:val="24"/>
                <w:szCs w:val="24"/>
              </w:rPr>
            </w:pPr>
            <w:r w:rsidRPr="00E07897">
              <w:rPr>
                <w:rFonts w:ascii="Calibri" w:hAnsi="Calibri" w:cs="Calibri"/>
                <w:sz w:val="24"/>
                <w:szCs w:val="24"/>
              </w:rPr>
              <w:t>15e.</w:t>
            </w:r>
          </w:p>
        </w:tc>
        <w:tc>
          <w:tcPr>
            <w:tcW w:w="5174" w:type="dxa"/>
          </w:tcPr>
          <w:p w14:paraId="52B489FA" w14:textId="6254564A" w:rsidR="00EC01B5" w:rsidRPr="00E07897" w:rsidRDefault="0019724D" w:rsidP="0019724D">
            <w:pPr>
              <w:rPr>
                <w:rFonts w:ascii="Calibri" w:eastAsia="Times New Roman" w:hAnsi="Calibri" w:cs="Calibri"/>
                <w:color w:val="000000"/>
                <w:sz w:val="24"/>
                <w:szCs w:val="24"/>
              </w:rPr>
            </w:pPr>
            <w:r w:rsidRPr="00E07897">
              <w:rPr>
                <w:rFonts w:ascii="Calibri" w:hAnsi="Calibri" w:cs="Calibri"/>
                <w:color w:val="000000"/>
                <w:sz w:val="24"/>
                <w:szCs w:val="24"/>
              </w:rPr>
              <w:t>wanneer de toezichthouder van de (betaal)instelling instructies geeft, bijvoorbeeld als de toezichthouder als gevolg van de uitbestedingsregeling niet langer in een positie is om doeltreffend toezicht op de (betaal)instelling te houden</w:t>
            </w:r>
            <w:r w:rsidR="008F4BB7">
              <w:rPr>
                <w:rFonts w:ascii="Calibri" w:hAnsi="Calibri" w:cs="Calibri"/>
                <w:color w:val="000000"/>
                <w:sz w:val="24"/>
                <w:szCs w:val="24"/>
              </w:rPr>
              <w:t>.</w:t>
            </w:r>
          </w:p>
        </w:tc>
        <w:tc>
          <w:tcPr>
            <w:tcW w:w="1445" w:type="dxa"/>
          </w:tcPr>
          <w:p w14:paraId="731E18F4" w14:textId="77777777" w:rsidR="00EC01B5" w:rsidRPr="00E07897" w:rsidRDefault="00EC01B5" w:rsidP="00311051">
            <w:pPr>
              <w:rPr>
                <w:rFonts w:ascii="Calibri" w:hAnsi="Calibri" w:cs="Calibri"/>
                <w:sz w:val="24"/>
                <w:szCs w:val="24"/>
              </w:rPr>
            </w:pPr>
          </w:p>
        </w:tc>
        <w:tc>
          <w:tcPr>
            <w:tcW w:w="1829" w:type="dxa"/>
          </w:tcPr>
          <w:p w14:paraId="64B04060" w14:textId="77777777" w:rsidR="00EC01B5" w:rsidRPr="00E07897" w:rsidRDefault="00EC01B5" w:rsidP="00311051">
            <w:pPr>
              <w:rPr>
                <w:rFonts w:ascii="Calibri" w:hAnsi="Calibri" w:cs="Calibri"/>
                <w:sz w:val="24"/>
                <w:szCs w:val="24"/>
              </w:rPr>
            </w:pPr>
          </w:p>
        </w:tc>
        <w:tc>
          <w:tcPr>
            <w:tcW w:w="4188" w:type="dxa"/>
          </w:tcPr>
          <w:p w14:paraId="58A286E7" w14:textId="77777777" w:rsidR="00EC01B5" w:rsidRPr="00E07897" w:rsidRDefault="00EC01B5" w:rsidP="00311051">
            <w:pPr>
              <w:rPr>
                <w:rFonts w:ascii="Calibri" w:hAnsi="Calibri" w:cs="Calibri"/>
                <w:sz w:val="24"/>
                <w:szCs w:val="24"/>
              </w:rPr>
            </w:pPr>
          </w:p>
        </w:tc>
      </w:tr>
      <w:tr w:rsidR="007C52C0" w:rsidRPr="00E07897" w14:paraId="7D5995CD" w14:textId="77777777" w:rsidTr="00101194">
        <w:tc>
          <w:tcPr>
            <w:tcW w:w="703" w:type="dxa"/>
          </w:tcPr>
          <w:p w14:paraId="55387633" w14:textId="6802C1CB" w:rsidR="00EC01B5" w:rsidRPr="00E07897" w:rsidRDefault="007B7778" w:rsidP="00311051">
            <w:pPr>
              <w:rPr>
                <w:rFonts w:ascii="Calibri" w:hAnsi="Calibri" w:cs="Calibri"/>
                <w:sz w:val="24"/>
                <w:szCs w:val="24"/>
              </w:rPr>
            </w:pPr>
            <w:r w:rsidRPr="00E07897">
              <w:rPr>
                <w:rFonts w:ascii="Calibri" w:hAnsi="Calibri" w:cs="Calibri"/>
                <w:sz w:val="24"/>
                <w:szCs w:val="24"/>
              </w:rPr>
              <w:t>16.</w:t>
            </w:r>
          </w:p>
        </w:tc>
        <w:tc>
          <w:tcPr>
            <w:tcW w:w="5174" w:type="dxa"/>
          </w:tcPr>
          <w:p w14:paraId="721B5CD0" w14:textId="5947B10F" w:rsidR="00EC01B5" w:rsidRPr="00E07897" w:rsidRDefault="00044491" w:rsidP="00311051">
            <w:pPr>
              <w:rPr>
                <w:rFonts w:ascii="Calibri" w:eastAsia="Times New Roman" w:hAnsi="Calibri" w:cs="Calibri"/>
                <w:color w:val="000000"/>
                <w:sz w:val="24"/>
                <w:szCs w:val="24"/>
              </w:rPr>
            </w:pPr>
            <w:r w:rsidRPr="00E07897">
              <w:rPr>
                <w:rFonts w:ascii="Calibri" w:hAnsi="Calibri" w:cs="Calibri"/>
                <w:color w:val="000000"/>
                <w:sz w:val="24"/>
                <w:szCs w:val="24"/>
              </w:rPr>
              <w:t>Een regeling van de overdracht van de uitbestede functie aan een andere dienstverlener</w:t>
            </w:r>
            <w:r w:rsidR="00B71734" w:rsidRPr="00E07897">
              <w:rPr>
                <w:rFonts w:ascii="Calibri" w:hAnsi="Calibri" w:cs="Calibri"/>
                <w:color w:val="000000"/>
                <w:sz w:val="24"/>
                <w:szCs w:val="24"/>
              </w:rPr>
              <w:t xml:space="preserve"> of het opnieuw onderbrengen ervan bij de (betaal)instelling, inclusief</w:t>
            </w:r>
            <w:r w:rsidR="00FB521A" w:rsidRPr="00E07897">
              <w:rPr>
                <w:rFonts w:ascii="Calibri" w:hAnsi="Calibri" w:cs="Calibri"/>
                <w:color w:val="000000"/>
                <w:sz w:val="24"/>
                <w:szCs w:val="24"/>
              </w:rPr>
              <w:t>:</w:t>
            </w:r>
          </w:p>
        </w:tc>
        <w:tc>
          <w:tcPr>
            <w:tcW w:w="1445" w:type="dxa"/>
          </w:tcPr>
          <w:p w14:paraId="1EC4930C" w14:textId="77777777" w:rsidR="00EC01B5" w:rsidRPr="00E07897" w:rsidRDefault="00EC01B5" w:rsidP="00311051">
            <w:pPr>
              <w:rPr>
                <w:rFonts w:ascii="Calibri" w:hAnsi="Calibri" w:cs="Calibri"/>
                <w:sz w:val="24"/>
                <w:szCs w:val="24"/>
              </w:rPr>
            </w:pPr>
          </w:p>
        </w:tc>
        <w:tc>
          <w:tcPr>
            <w:tcW w:w="1829" w:type="dxa"/>
          </w:tcPr>
          <w:p w14:paraId="7649F405" w14:textId="77777777" w:rsidR="00EC01B5" w:rsidRPr="00E07897" w:rsidRDefault="00EC01B5" w:rsidP="00311051">
            <w:pPr>
              <w:rPr>
                <w:rFonts w:ascii="Calibri" w:hAnsi="Calibri" w:cs="Calibri"/>
                <w:sz w:val="24"/>
                <w:szCs w:val="24"/>
              </w:rPr>
            </w:pPr>
          </w:p>
        </w:tc>
        <w:tc>
          <w:tcPr>
            <w:tcW w:w="4188" w:type="dxa"/>
          </w:tcPr>
          <w:p w14:paraId="0E235AA8" w14:textId="77777777" w:rsidR="00EC01B5" w:rsidRPr="00E07897" w:rsidRDefault="00EC01B5" w:rsidP="00311051">
            <w:pPr>
              <w:rPr>
                <w:rFonts w:ascii="Calibri" w:hAnsi="Calibri" w:cs="Calibri"/>
                <w:sz w:val="24"/>
                <w:szCs w:val="24"/>
              </w:rPr>
            </w:pPr>
          </w:p>
        </w:tc>
      </w:tr>
      <w:tr w:rsidR="007C52C0" w:rsidRPr="00E07897" w14:paraId="2AB4DECC" w14:textId="77777777" w:rsidTr="00101194">
        <w:tc>
          <w:tcPr>
            <w:tcW w:w="703" w:type="dxa"/>
          </w:tcPr>
          <w:p w14:paraId="1E44FCAE" w14:textId="3F7245A2" w:rsidR="00EC01B5" w:rsidRPr="00E07897" w:rsidRDefault="00FB521A" w:rsidP="00311051">
            <w:pPr>
              <w:rPr>
                <w:rFonts w:ascii="Calibri" w:hAnsi="Calibri" w:cs="Calibri"/>
                <w:sz w:val="24"/>
                <w:szCs w:val="24"/>
              </w:rPr>
            </w:pPr>
            <w:r w:rsidRPr="00E07897">
              <w:rPr>
                <w:rFonts w:ascii="Calibri" w:hAnsi="Calibri" w:cs="Calibri"/>
                <w:sz w:val="24"/>
                <w:szCs w:val="24"/>
              </w:rPr>
              <w:t>16a.</w:t>
            </w:r>
          </w:p>
        </w:tc>
        <w:tc>
          <w:tcPr>
            <w:tcW w:w="5174" w:type="dxa"/>
          </w:tcPr>
          <w:p w14:paraId="579E65DE" w14:textId="604ED1B1" w:rsidR="00EC01B5" w:rsidRPr="00E07897" w:rsidRDefault="002F20EE" w:rsidP="002F20EE">
            <w:pPr>
              <w:rPr>
                <w:rFonts w:ascii="Calibri" w:eastAsia="Times New Roman" w:hAnsi="Calibri" w:cs="Calibri"/>
                <w:color w:val="000000"/>
                <w:sz w:val="24"/>
                <w:szCs w:val="24"/>
              </w:rPr>
            </w:pPr>
            <w:r w:rsidRPr="00E07897">
              <w:rPr>
                <w:rFonts w:ascii="Calibri" w:hAnsi="Calibri" w:cs="Calibri"/>
                <w:color w:val="000000"/>
                <w:sz w:val="24"/>
                <w:szCs w:val="24"/>
              </w:rPr>
              <w:t>een heldere omschrijving van de verplichtingen van de bestaande dienstverlener, in het geval van een overdracht van de uitbestede functie aan een andere dienstverlener of weer terug aan de (betaal)instelling, inclusief de behandeling van gegevens</w:t>
            </w:r>
            <w:r w:rsidR="000F6250" w:rsidRPr="00E07897">
              <w:rPr>
                <w:rFonts w:ascii="Calibri" w:hAnsi="Calibri" w:cs="Calibri"/>
                <w:color w:val="000000"/>
                <w:sz w:val="24"/>
                <w:szCs w:val="24"/>
              </w:rPr>
              <w:t>;</w:t>
            </w:r>
          </w:p>
        </w:tc>
        <w:tc>
          <w:tcPr>
            <w:tcW w:w="1445" w:type="dxa"/>
          </w:tcPr>
          <w:p w14:paraId="72B6DA80" w14:textId="77777777" w:rsidR="00EC01B5" w:rsidRPr="00E07897" w:rsidRDefault="00EC01B5" w:rsidP="00311051">
            <w:pPr>
              <w:rPr>
                <w:rFonts w:ascii="Calibri" w:hAnsi="Calibri" w:cs="Calibri"/>
                <w:sz w:val="24"/>
                <w:szCs w:val="24"/>
              </w:rPr>
            </w:pPr>
          </w:p>
        </w:tc>
        <w:tc>
          <w:tcPr>
            <w:tcW w:w="1829" w:type="dxa"/>
          </w:tcPr>
          <w:p w14:paraId="6BE94D12" w14:textId="77777777" w:rsidR="00EC01B5" w:rsidRPr="00E07897" w:rsidRDefault="00EC01B5" w:rsidP="00311051">
            <w:pPr>
              <w:rPr>
                <w:rFonts w:ascii="Calibri" w:hAnsi="Calibri" w:cs="Calibri"/>
                <w:sz w:val="24"/>
                <w:szCs w:val="24"/>
              </w:rPr>
            </w:pPr>
          </w:p>
        </w:tc>
        <w:tc>
          <w:tcPr>
            <w:tcW w:w="4188" w:type="dxa"/>
          </w:tcPr>
          <w:p w14:paraId="703E8D05" w14:textId="77777777" w:rsidR="00EC01B5" w:rsidRPr="00E07897" w:rsidRDefault="00EC01B5" w:rsidP="00311051">
            <w:pPr>
              <w:rPr>
                <w:rFonts w:ascii="Calibri" w:hAnsi="Calibri" w:cs="Calibri"/>
                <w:sz w:val="24"/>
                <w:szCs w:val="24"/>
              </w:rPr>
            </w:pPr>
          </w:p>
        </w:tc>
      </w:tr>
      <w:tr w:rsidR="007C52C0" w:rsidRPr="00E07897" w14:paraId="14780C59" w14:textId="77777777" w:rsidTr="00101194">
        <w:tc>
          <w:tcPr>
            <w:tcW w:w="703" w:type="dxa"/>
          </w:tcPr>
          <w:p w14:paraId="3F79B652" w14:textId="322E16CE" w:rsidR="00EC01B5" w:rsidRPr="00E07897" w:rsidRDefault="00FB521A" w:rsidP="00311051">
            <w:pPr>
              <w:rPr>
                <w:rFonts w:ascii="Calibri" w:hAnsi="Calibri" w:cs="Calibri"/>
                <w:sz w:val="24"/>
                <w:szCs w:val="24"/>
              </w:rPr>
            </w:pPr>
            <w:r w:rsidRPr="00E07897">
              <w:rPr>
                <w:rFonts w:ascii="Calibri" w:hAnsi="Calibri" w:cs="Calibri"/>
                <w:sz w:val="24"/>
                <w:szCs w:val="24"/>
              </w:rPr>
              <w:t>16b.</w:t>
            </w:r>
          </w:p>
        </w:tc>
        <w:tc>
          <w:tcPr>
            <w:tcW w:w="5174" w:type="dxa"/>
          </w:tcPr>
          <w:p w14:paraId="3B544EAB" w14:textId="750E3464" w:rsidR="00EC01B5" w:rsidRPr="00E07897" w:rsidRDefault="00C60908" w:rsidP="00C60908">
            <w:pPr>
              <w:rPr>
                <w:rFonts w:ascii="Calibri" w:eastAsia="Times New Roman" w:hAnsi="Calibri" w:cs="Calibri"/>
                <w:color w:val="000000"/>
                <w:sz w:val="24"/>
                <w:szCs w:val="24"/>
              </w:rPr>
            </w:pPr>
            <w:r w:rsidRPr="00E07897">
              <w:rPr>
                <w:rFonts w:ascii="Calibri" w:hAnsi="Calibri" w:cs="Calibri"/>
                <w:color w:val="000000"/>
                <w:sz w:val="24"/>
                <w:szCs w:val="24"/>
              </w:rPr>
              <w:t xml:space="preserve">een passende overgangsperiode waarin de dienstverlener, na de beëindiging van de </w:t>
            </w:r>
            <w:r w:rsidRPr="00E07897">
              <w:rPr>
                <w:rFonts w:ascii="Calibri" w:hAnsi="Calibri" w:cs="Calibri"/>
                <w:color w:val="000000"/>
                <w:sz w:val="24"/>
                <w:szCs w:val="24"/>
              </w:rPr>
              <w:lastRenderedPageBreak/>
              <w:t>uitbestedingsregeling, de uitbestede functie blijft verrichten om het risico op verstoringen te beperken; en</w:t>
            </w:r>
          </w:p>
        </w:tc>
        <w:tc>
          <w:tcPr>
            <w:tcW w:w="1445" w:type="dxa"/>
          </w:tcPr>
          <w:p w14:paraId="2C5AB8A9" w14:textId="77777777" w:rsidR="00EC01B5" w:rsidRPr="00E07897" w:rsidRDefault="00EC01B5" w:rsidP="00311051">
            <w:pPr>
              <w:rPr>
                <w:rFonts w:ascii="Calibri" w:hAnsi="Calibri" w:cs="Calibri"/>
                <w:sz w:val="24"/>
                <w:szCs w:val="24"/>
              </w:rPr>
            </w:pPr>
          </w:p>
        </w:tc>
        <w:tc>
          <w:tcPr>
            <w:tcW w:w="1829" w:type="dxa"/>
          </w:tcPr>
          <w:p w14:paraId="2F6AEA43" w14:textId="77777777" w:rsidR="00EC01B5" w:rsidRPr="00E07897" w:rsidRDefault="00EC01B5" w:rsidP="00311051">
            <w:pPr>
              <w:rPr>
                <w:rFonts w:ascii="Calibri" w:hAnsi="Calibri" w:cs="Calibri"/>
                <w:sz w:val="24"/>
                <w:szCs w:val="24"/>
              </w:rPr>
            </w:pPr>
          </w:p>
        </w:tc>
        <w:tc>
          <w:tcPr>
            <w:tcW w:w="4188" w:type="dxa"/>
          </w:tcPr>
          <w:p w14:paraId="33A9CF07" w14:textId="77777777" w:rsidR="00EC01B5" w:rsidRPr="00E07897" w:rsidRDefault="00EC01B5" w:rsidP="00311051">
            <w:pPr>
              <w:rPr>
                <w:rFonts w:ascii="Calibri" w:hAnsi="Calibri" w:cs="Calibri"/>
                <w:sz w:val="24"/>
                <w:szCs w:val="24"/>
              </w:rPr>
            </w:pPr>
          </w:p>
        </w:tc>
      </w:tr>
      <w:tr w:rsidR="007C52C0" w:rsidRPr="00E07897" w14:paraId="2CB7CF38" w14:textId="77777777" w:rsidTr="00101194">
        <w:tc>
          <w:tcPr>
            <w:tcW w:w="703" w:type="dxa"/>
          </w:tcPr>
          <w:p w14:paraId="31E4E52C" w14:textId="0F288A6D" w:rsidR="00FB521A" w:rsidRPr="00E07897" w:rsidRDefault="001C5388" w:rsidP="00311051">
            <w:pPr>
              <w:rPr>
                <w:rFonts w:ascii="Calibri" w:hAnsi="Calibri" w:cs="Calibri"/>
                <w:sz w:val="24"/>
                <w:szCs w:val="24"/>
              </w:rPr>
            </w:pPr>
            <w:r w:rsidRPr="00E07897">
              <w:rPr>
                <w:rFonts w:ascii="Calibri" w:hAnsi="Calibri" w:cs="Calibri"/>
                <w:sz w:val="24"/>
                <w:szCs w:val="24"/>
              </w:rPr>
              <w:t>16c.</w:t>
            </w:r>
          </w:p>
        </w:tc>
        <w:tc>
          <w:tcPr>
            <w:tcW w:w="5174" w:type="dxa"/>
          </w:tcPr>
          <w:p w14:paraId="353886A7" w14:textId="6E88FE01" w:rsidR="00FB521A" w:rsidRPr="00E07897" w:rsidRDefault="00C60908" w:rsidP="00C60908">
            <w:pPr>
              <w:rPr>
                <w:rFonts w:ascii="Calibri" w:eastAsia="Times New Roman" w:hAnsi="Calibri" w:cs="Calibri"/>
                <w:color w:val="000000"/>
                <w:sz w:val="24"/>
                <w:szCs w:val="24"/>
              </w:rPr>
            </w:pPr>
            <w:r w:rsidRPr="00E07897">
              <w:rPr>
                <w:rFonts w:ascii="Calibri" w:hAnsi="Calibri" w:cs="Calibri"/>
                <w:color w:val="000000"/>
                <w:sz w:val="24"/>
                <w:szCs w:val="24"/>
              </w:rPr>
              <w:t>een verplichting voor de dienstverlener om de (betaal)instelling te helpen de functie op ordelijke wijze over te dragen wanneer de uitbestedingsovereenkomst wordt beëindigd.</w:t>
            </w:r>
          </w:p>
        </w:tc>
        <w:tc>
          <w:tcPr>
            <w:tcW w:w="1445" w:type="dxa"/>
          </w:tcPr>
          <w:p w14:paraId="54927AF3" w14:textId="77777777" w:rsidR="00FB521A" w:rsidRPr="00E07897" w:rsidRDefault="00FB521A" w:rsidP="00311051">
            <w:pPr>
              <w:rPr>
                <w:rFonts w:ascii="Calibri" w:hAnsi="Calibri" w:cs="Calibri"/>
                <w:sz w:val="24"/>
                <w:szCs w:val="24"/>
              </w:rPr>
            </w:pPr>
          </w:p>
        </w:tc>
        <w:tc>
          <w:tcPr>
            <w:tcW w:w="1829" w:type="dxa"/>
          </w:tcPr>
          <w:p w14:paraId="1283A4A8" w14:textId="77777777" w:rsidR="00FB521A" w:rsidRPr="00E07897" w:rsidRDefault="00FB521A" w:rsidP="00311051">
            <w:pPr>
              <w:rPr>
                <w:rFonts w:ascii="Calibri" w:hAnsi="Calibri" w:cs="Calibri"/>
                <w:sz w:val="24"/>
                <w:szCs w:val="24"/>
              </w:rPr>
            </w:pPr>
          </w:p>
        </w:tc>
        <w:tc>
          <w:tcPr>
            <w:tcW w:w="4188" w:type="dxa"/>
          </w:tcPr>
          <w:p w14:paraId="5F50757B" w14:textId="77777777" w:rsidR="00FB521A" w:rsidRPr="00E07897" w:rsidRDefault="00FB521A" w:rsidP="00311051">
            <w:pPr>
              <w:rPr>
                <w:rFonts w:ascii="Calibri" w:hAnsi="Calibri" w:cs="Calibri"/>
                <w:sz w:val="24"/>
                <w:szCs w:val="24"/>
              </w:rPr>
            </w:pPr>
          </w:p>
        </w:tc>
      </w:tr>
      <w:tr w:rsidR="00145EC8" w:rsidRPr="00E07897" w14:paraId="1213E2C9" w14:textId="77777777" w:rsidTr="00101194">
        <w:tc>
          <w:tcPr>
            <w:tcW w:w="703" w:type="dxa"/>
          </w:tcPr>
          <w:p w14:paraId="1A6ECBB4" w14:textId="05CBBFA5" w:rsidR="00145EC8" w:rsidRPr="00E07897" w:rsidRDefault="00B313AD" w:rsidP="00311051">
            <w:pPr>
              <w:rPr>
                <w:rFonts w:ascii="Calibri" w:hAnsi="Calibri" w:cs="Calibri"/>
              </w:rPr>
            </w:pPr>
            <w:r w:rsidRPr="00E07897">
              <w:rPr>
                <w:rFonts w:ascii="Calibri" w:hAnsi="Calibri" w:cs="Calibri"/>
              </w:rPr>
              <w:t xml:space="preserve">17. </w:t>
            </w:r>
          </w:p>
        </w:tc>
        <w:tc>
          <w:tcPr>
            <w:tcW w:w="5174" w:type="dxa"/>
          </w:tcPr>
          <w:p w14:paraId="2789808C" w14:textId="3D7435CE" w:rsidR="00145EC8" w:rsidRPr="00E07897" w:rsidRDefault="003430DC" w:rsidP="00C60908">
            <w:pPr>
              <w:rPr>
                <w:rFonts w:ascii="Calibri" w:hAnsi="Calibri" w:cs="Calibri"/>
                <w:color w:val="000000"/>
              </w:rPr>
            </w:pPr>
            <w:r w:rsidRPr="00E07897">
              <w:rPr>
                <w:rFonts w:ascii="Calibri" w:hAnsi="Calibri" w:cs="Calibri"/>
                <w:color w:val="000000"/>
              </w:rPr>
              <w:t>De verplichting voor dienstverleners, waar relevant</w:t>
            </w:r>
            <w:r w:rsidR="00E81EE8" w:rsidRPr="00E07897">
              <w:rPr>
                <w:rFonts w:ascii="Calibri" w:hAnsi="Calibri" w:cs="Calibri"/>
                <w:color w:val="000000"/>
              </w:rPr>
              <w:t>,</w:t>
            </w:r>
            <w:r w:rsidRPr="00E07897">
              <w:rPr>
                <w:rFonts w:ascii="Calibri" w:hAnsi="Calibri" w:cs="Calibri"/>
                <w:color w:val="000000"/>
              </w:rPr>
              <w:t xml:space="preserve"> om aan de juiste IT-beve</w:t>
            </w:r>
            <w:r w:rsidR="00E81EE8" w:rsidRPr="00E07897">
              <w:rPr>
                <w:rFonts w:ascii="Calibri" w:hAnsi="Calibri" w:cs="Calibri"/>
                <w:color w:val="000000"/>
              </w:rPr>
              <w:t>i</w:t>
            </w:r>
            <w:r w:rsidRPr="00E07897">
              <w:rPr>
                <w:rFonts w:ascii="Calibri" w:hAnsi="Calibri" w:cs="Calibri"/>
                <w:color w:val="000000"/>
              </w:rPr>
              <w:t>ligingsnormen</w:t>
            </w:r>
            <w:r w:rsidR="00432329" w:rsidRPr="00E07897">
              <w:rPr>
                <w:rFonts w:ascii="Calibri" w:hAnsi="Calibri" w:cs="Calibri"/>
                <w:color w:val="000000"/>
              </w:rPr>
              <w:t xml:space="preserve"> voor gegevens en systemen</w:t>
            </w:r>
            <w:r w:rsidRPr="00E07897">
              <w:rPr>
                <w:rFonts w:ascii="Calibri" w:hAnsi="Calibri" w:cs="Calibri"/>
                <w:color w:val="000000"/>
              </w:rPr>
              <w:t xml:space="preserve"> te voldoen</w:t>
            </w:r>
            <w:r w:rsidR="0017107B" w:rsidRPr="00E07897">
              <w:rPr>
                <w:rFonts w:ascii="Calibri" w:hAnsi="Calibri" w:cs="Calibri"/>
                <w:color w:val="000000"/>
              </w:rPr>
              <w:t>.</w:t>
            </w:r>
          </w:p>
        </w:tc>
        <w:tc>
          <w:tcPr>
            <w:tcW w:w="1445" w:type="dxa"/>
          </w:tcPr>
          <w:p w14:paraId="611551A0" w14:textId="77777777" w:rsidR="00145EC8" w:rsidRPr="00E07897" w:rsidRDefault="00145EC8" w:rsidP="00311051">
            <w:pPr>
              <w:rPr>
                <w:rFonts w:ascii="Calibri" w:hAnsi="Calibri" w:cs="Calibri"/>
              </w:rPr>
            </w:pPr>
          </w:p>
        </w:tc>
        <w:tc>
          <w:tcPr>
            <w:tcW w:w="1829" w:type="dxa"/>
          </w:tcPr>
          <w:p w14:paraId="09E94E01" w14:textId="77777777" w:rsidR="00145EC8" w:rsidRPr="00E07897" w:rsidRDefault="00145EC8" w:rsidP="00311051">
            <w:pPr>
              <w:rPr>
                <w:rFonts w:ascii="Calibri" w:hAnsi="Calibri" w:cs="Calibri"/>
              </w:rPr>
            </w:pPr>
          </w:p>
        </w:tc>
        <w:tc>
          <w:tcPr>
            <w:tcW w:w="4188" w:type="dxa"/>
          </w:tcPr>
          <w:p w14:paraId="56623EE6" w14:textId="77777777" w:rsidR="00145EC8" w:rsidRPr="00E07897" w:rsidRDefault="00145EC8" w:rsidP="00311051">
            <w:pPr>
              <w:rPr>
                <w:rFonts w:ascii="Calibri" w:hAnsi="Calibri" w:cs="Calibri"/>
              </w:rPr>
            </w:pPr>
          </w:p>
        </w:tc>
      </w:tr>
      <w:tr w:rsidR="00145EC8" w:rsidRPr="00E07897" w14:paraId="7DA76C2B" w14:textId="77777777" w:rsidTr="00101194">
        <w:tc>
          <w:tcPr>
            <w:tcW w:w="703" w:type="dxa"/>
          </w:tcPr>
          <w:p w14:paraId="06903897" w14:textId="709A9DF8" w:rsidR="00145EC8" w:rsidRPr="00E07897" w:rsidRDefault="0017107B" w:rsidP="00311051">
            <w:pPr>
              <w:rPr>
                <w:rFonts w:ascii="Calibri" w:hAnsi="Calibri" w:cs="Calibri"/>
              </w:rPr>
            </w:pPr>
            <w:r w:rsidRPr="00E07897">
              <w:rPr>
                <w:rFonts w:ascii="Calibri" w:hAnsi="Calibri" w:cs="Calibri"/>
              </w:rPr>
              <w:t>18.</w:t>
            </w:r>
          </w:p>
        </w:tc>
        <w:tc>
          <w:tcPr>
            <w:tcW w:w="5174" w:type="dxa"/>
          </w:tcPr>
          <w:p w14:paraId="65D7B000" w14:textId="09938D91" w:rsidR="00145EC8" w:rsidRPr="00E07897" w:rsidRDefault="00735AF8" w:rsidP="00735AF8">
            <w:pPr>
              <w:rPr>
                <w:rFonts w:ascii="Calibri" w:hAnsi="Calibri" w:cs="Calibri"/>
                <w:color w:val="000000"/>
              </w:rPr>
            </w:pPr>
            <w:r w:rsidRPr="00E07897">
              <w:rPr>
                <w:rFonts w:ascii="Calibri" w:hAnsi="Calibri" w:cs="Calibri"/>
                <w:color w:val="000000"/>
              </w:rPr>
              <w:t xml:space="preserve">De verplichting dat de dienstverlener vertrouwelijke, persoonlijke of anderszins gevoelige informatie moet beschermen en moet voldoen aan alle wettelijke vereisten betreffende de bescherming van gegevens die voor de (betaal)instelling gelden. </w:t>
            </w:r>
          </w:p>
        </w:tc>
        <w:tc>
          <w:tcPr>
            <w:tcW w:w="1445" w:type="dxa"/>
          </w:tcPr>
          <w:p w14:paraId="1E87E437" w14:textId="77777777" w:rsidR="00145EC8" w:rsidRPr="00E07897" w:rsidRDefault="00145EC8" w:rsidP="00311051">
            <w:pPr>
              <w:rPr>
                <w:rFonts w:ascii="Calibri" w:hAnsi="Calibri" w:cs="Calibri"/>
              </w:rPr>
            </w:pPr>
          </w:p>
        </w:tc>
        <w:tc>
          <w:tcPr>
            <w:tcW w:w="1829" w:type="dxa"/>
          </w:tcPr>
          <w:p w14:paraId="5E4AE141" w14:textId="77777777" w:rsidR="00145EC8" w:rsidRPr="00E07897" w:rsidRDefault="00145EC8" w:rsidP="00311051">
            <w:pPr>
              <w:rPr>
                <w:rFonts w:ascii="Calibri" w:hAnsi="Calibri" w:cs="Calibri"/>
              </w:rPr>
            </w:pPr>
          </w:p>
        </w:tc>
        <w:tc>
          <w:tcPr>
            <w:tcW w:w="4188" w:type="dxa"/>
          </w:tcPr>
          <w:p w14:paraId="79B05B31" w14:textId="77777777" w:rsidR="00145EC8" w:rsidRPr="00E07897" w:rsidRDefault="00145EC8" w:rsidP="00311051">
            <w:pPr>
              <w:rPr>
                <w:rFonts w:ascii="Calibri" w:hAnsi="Calibri" w:cs="Calibri"/>
              </w:rPr>
            </w:pPr>
          </w:p>
        </w:tc>
      </w:tr>
      <w:tr w:rsidR="00145EC8" w:rsidRPr="00E07897" w14:paraId="246CFDBA" w14:textId="77777777" w:rsidTr="00101194">
        <w:tc>
          <w:tcPr>
            <w:tcW w:w="703" w:type="dxa"/>
          </w:tcPr>
          <w:p w14:paraId="704611D0" w14:textId="36063E4F" w:rsidR="00145EC8" w:rsidRPr="00E07897" w:rsidRDefault="00734106" w:rsidP="00311051">
            <w:pPr>
              <w:rPr>
                <w:rFonts w:ascii="Calibri" w:hAnsi="Calibri" w:cs="Calibri"/>
              </w:rPr>
            </w:pPr>
            <w:r w:rsidRPr="00E07897">
              <w:rPr>
                <w:rFonts w:ascii="Calibri" w:hAnsi="Calibri" w:cs="Calibri"/>
              </w:rPr>
              <w:t>19.</w:t>
            </w:r>
          </w:p>
        </w:tc>
        <w:tc>
          <w:tcPr>
            <w:tcW w:w="5174" w:type="dxa"/>
          </w:tcPr>
          <w:p w14:paraId="4B263CE4" w14:textId="6C07B7CE" w:rsidR="00145EC8" w:rsidRPr="00E07897" w:rsidRDefault="00C906A4" w:rsidP="00C60908">
            <w:pPr>
              <w:rPr>
                <w:rFonts w:ascii="Calibri" w:hAnsi="Calibri" w:cs="Calibri"/>
                <w:color w:val="000000"/>
              </w:rPr>
            </w:pPr>
            <w:r w:rsidRPr="00E07897">
              <w:rPr>
                <w:rFonts w:ascii="Calibri" w:hAnsi="Calibri" w:cs="Calibri"/>
                <w:color w:val="000000"/>
              </w:rPr>
              <w:t xml:space="preserve">Het recht van de interne auditfunctie om de uitbestede functie via een op risico’s gebaseerde benadering te toetsen. </w:t>
            </w:r>
          </w:p>
        </w:tc>
        <w:tc>
          <w:tcPr>
            <w:tcW w:w="1445" w:type="dxa"/>
          </w:tcPr>
          <w:p w14:paraId="14FAD910" w14:textId="77777777" w:rsidR="00145EC8" w:rsidRPr="00E07897" w:rsidRDefault="00145EC8" w:rsidP="00311051">
            <w:pPr>
              <w:rPr>
                <w:rFonts w:ascii="Calibri" w:hAnsi="Calibri" w:cs="Calibri"/>
              </w:rPr>
            </w:pPr>
          </w:p>
        </w:tc>
        <w:tc>
          <w:tcPr>
            <w:tcW w:w="1829" w:type="dxa"/>
          </w:tcPr>
          <w:p w14:paraId="7665F34E" w14:textId="77777777" w:rsidR="00145EC8" w:rsidRPr="00E07897" w:rsidRDefault="00145EC8" w:rsidP="00311051">
            <w:pPr>
              <w:rPr>
                <w:rFonts w:ascii="Calibri" w:hAnsi="Calibri" w:cs="Calibri"/>
              </w:rPr>
            </w:pPr>
          </w:p>
        </w:tc>
        <w:tc>
          <w:tcPr>
            <w:tcW w:w="4188" w:type="dxa"/>
          </w:tcPr>
          <w:p w14:paraId="4033F5E4" w14:textId="77777777" w:rsidR="00145EC8" w:rsidRPr="00E07897" w:rsidRDefault="00145EC8" w:rsidP="00311051">
            <w:pPr>
              <w:rPr>
                <w:rFonts w:ascii="Calibri" w:hAnsi="Calibri" w:cs="Calibri"/>
              </w:rPr>
            </w:pPr>
          </w:p>
        </w:tc>
      </w:tr>
      <w:tr w:rsidR="001178B2" w:rsidRPr="00E07897" w14:paraId="475B4253" w14:textId="77777777" w:rsidTr="00101194">
        <w:tc>
          <w:tcPr>
            <w:tcW w:w="703" w:type="dxa"/>
          </w:tcPr>
          <w:p w14:paraId="779A895E" w14:textId="332B66E6" w:rsidR="001178B2" w:rsidRPr="00E07897" w:rsidRDefault="001178B2" w:rsidP="001178B2">
            <w:pPr>
              <w:rPr>
                <w:rFonts w:ascii="Calibri" w:hAnsi="Calibri" w:cs="Calibri"/>
              </w:rPr>
            </w:pPr>
            <w:r w:rsidRPr="00E07897">
              <w:rPr>
                <w:rFonts w:ascii="Calibri" w:hAnsi="Calibri" w:cs="Calibri"/>
              </w:rPr>
              <w:t>20.</w:t>
            </w:r>
          </w:p>
        </w:tc>
        <w:tc>
          <w:tcPr>
            <w:tcW w:w="5174" w:type="dxa"/>
          </w:tcPr>
          <w:p w14:paraId="7E94CE29" w14:textId="70A7F82A" w:rsidR="001178B2" w:rsidRPr="00E07897" w:rsidRDefault="00951C9A" w:rsidP="00AB026F">
            <w:pPr>
              <w:rPr>
                <w:rFonts w:ascii="Calibri" w:hAnsi="Calibri" w:cs="Calibri"/>
                <w:color w:val="000000"/>
              </w:rPr>
            </w:pPr>
            <w:r>
              <w:rPr>
                <w:rFonts w:ascii="Calibri" w:hAnsi="Calibri" w:cs="Calibri"/>
                <w:color w:val="000000"/>
              </w:rPr>
              <w:t>Voor dienstverleners in een EU lidstaat: e</w:t>
            </w:r>
            <w:r w:rsidR="00FA6A5D" w:rsidRPr="00E07897">
              <w:rPr>
                <w:rFonts w:ascii="Calibri" w:hAnsi="Calibri" w:cs="Calibri"/>
                <w:color w:val="000000"/>
              </w:rPr>
              <w:t>en verwijzing naar de bevoegdheden van bevoegde autoriteiten en afwikkelingsautoriteiten inzake informatievergaring en onderzoek krachtens artikel 63, lid 1, onder a), van Richtlijn 2014/59/EU (BRRD) en artikel 65, lid 3, van Richtlijn 2013/36/EU (CRD IV)</w:t>
            </w:r>
            <w:r w:rsidR="00AB026F" w:rsidRPr="00E07897">
              <w:rPr>
                <w:rFonts w:ascii="Calibri" w:hAnsi="Calibri" w:cs="Calibri"/>
                <w:color w:val="000000"/>
              </w:rPr>
              <w:t xml:space="preserve">. Als de dienstverlener in een derde land is gevestigd, moeten deze rechten ook van toepassing zijn. </w:t>
            </w:r>
          </w:p>
        </w:tc>
        <w:tc>
          <w:tcPr>
            <w:tcW w:w="1445" w:type="dxa"/>
          </w:tcPr>
          <w:p w14:paraId="2DB5F434" w14:textId="77777777" w:rsidR="001178B2" w:rsidRPr="00E07897" w:rsidRDefault="001178B2" w:rsidP="001178B2">
            <w:pPr>
              <w:rPr>
                <w:rFonts w:ascii="Calibri" w:hAnsi="Calibri" w:cs="Calibri"/>
              </w:rPr>
            </w:pPr>
          </w:p>
        </w:tc>
        <w:tc>
          <w:tcPr>
            <w:tcW w:w="1829" w:type="dxa"/>
          </w:tcPr>
          <w:p w14:paraId="38664BBA" w14:textId="77777777" w:rsidR="001178B2" w:rsidRPr="00E07897" w:rsidRDefault="001178B2" w:rsidP="001178B2">
            <w:pPr>
              <w:rPr>
                <w:rFonts w:ascii="Calibri" w:hAnsi="Calibri" w:cs="Calibri"/>
              </w:rPr>
            </w:pPr>
          </w:p>
        </w:tc>
        <w:tc>
          <w:tcPr>
            <w:tcW w:w="4188" w:type="dxa"/>
          </w:tcPr>
          <w:p w14:paraId="4773FA6F" w14:textId="77777777" w:rsidR="001178B2" w:rsidRPr="00E07897" w:rsidRDefault="001178B2" w:rsidP="001178B2">
            <w:pPr>
              <w:rPr>
                <w:rFonts w:ascii="Calibri" w:hAnsi="Calibri" w:cs="Calibri"/>
              </w:rPr>
            </w:pPr>
          </w:p>
        </w:tc>
      </w:tr>
      <w:tr w:rsidR="001178B2" w:rsidRPr="00E07897" w14:paraId="49A0125D" w14:textId="77777777" w:rsidTr="00101194">
        <w:tc>
          <w:tcPr>
            <w:tcW w:w="703" w:type="dxa"/>
          </w:tcPr>
          <w:p w14:paraId="572E0306" w14:textId="1950B939" w:rsidR="001178B2" w:rsidRPr="00E07897" w:rsidRDefault="00711AB1" w:rsidP="001178B2">
            <w:pPr>
              <w:rPr>
                <w:rFonts w:ascii="Calibri" w:hAnsi="Calibri" w:cs="Calibri"/>
              </w:rPr>
            </w:pPr>
            <w:r w:rsidRPr="00E07897">
              <w:rPr>
                <w:rFonts w:ascii="Calibri" w:hAnsi="Calibri" w:cs="Calibri"/>
              </w:rPr>
              <w:t>21.</w:t>
            </w:r>
          </w:p>
        </w:tc>
        <w:tc>
          <w:tcPr>
            <w:tcW w:w="5174" w:type="dxa"/>
          </w:tcPr>
          <w:p w14:paraId="1B36E58F" w14:textId="7F5716CA" w:rsidR="001178B2" w:rsidRPr="00E07897" w:rsidRDefault="002963A8" w:rsidP="001178B2">
            <w:pPr>
              <w:rPr>
                <w:rFonts w:ascii="Calibri" w:hAnsi="Calibri" w:cs="Calibri"/>
                <w:color w:val="000000"/>
              </w:rPr>
            </w:pPr>
            <w:r w:rsidRPr="00E07897">
              <w:rPr>
                <w:rFonts w:ascii="Calibri" w:hAnsi="Calibri" w:cs="Calibri"/>
                <w:color w:val="000000"/>
              </w:rPr>
              <w:t xml:space="preserve">De mogelijkheid van </w:t>
            </w:r>
            <w:r w:rsidR="006F7404" w:rsidRPr="00E07897">
              <w:rPr>
                <w:rFonts w:ascii="Calibri" w:hAnsi="Calibri" w:cs="Calibri"/>
                <w:color w:val="000000"/>
              </w:rPr>
              <w:t>de instelling om periodieke penetratietests te kunnen uitvoeren om te kunnen beoordelen hoe</w:t>
            </w:r>
            <w:r w:rsidR="006A116E">
              <w:rPr>
                <w:rFonts w:ascii="Calibri" w:hAnsi="Calibri" w:cs="Calibri"/>
                <w:color w:val="000000"/>
              </w:rPr>
              <w:t xml:space="preserve"> e</w:t>
            </w:r>
            <w:r w:rsidR="006F7404" w:rsidRPr="00E07897">
              <w:rPr>
                <w:rFonts w:ascii="Calibri" w:hAnsi="Calibri" w:cs="Calibri"/>
                <w:color w:val="000000"/>
              </w:rPr>
              <w:t xml:space="preserve">ffectief de ten uitvoer gelegde cyber- </w:t>
            </w:r>
            <w:r w:rsidR="006F7404" w:rsidRPr="00E07897">
              <w:rPr>
                <w:rFonts w:ascii="Calibri" w:hAnsi="Calibri" w:cs="Calibri"/>
                <w:color w:val="000000"/>
              </w:rPr>
              <w:lastRenderedPageBreak/>
              <w:t xml:space="preserve">en interne ICT-veiligheidsmaatregelen en -processen zijn. </w:t>
            </w:r>
          </w:p>
        </w:tc>
        <w:tc>
          <w:tcPr>
            <w:tcW w:w="1445" w:type="dxa"/>
          </w:tcPr>
          <w:p w14:paraId="24115367" w14:textId="77777777" w:rsidR="001178B2" w:rsidRPr="00E07897" w:rsidRDefault="001178B2" w:rsidP="001178B2">
            <w:pPr>
              <w:rPr>
                <w:rFonts w:ascii="Calibri" w:hAnsi="Calibri" w:cs="Calibri"/>
              </w:rPr>
            </w:pPr>
          </w:p>
        </w:tc>
        <w:tc>
          <w:tcPr>
            <w:tcW w:w="1829" w:type="dxa"/>
          </w:tcPr>
          <w:p w14:paraId="47B94F97" w14:textId="77777777" w:rsidR="001178B2" w:rsidRPr="00E07897" w:rsidRDefault="001178B2" w:rsidP="001178B2">
            <w:pPr>
              <w:rPr>
                <w:rFonts w:ascii="Calibri" w:hAnsi="Calibri" w:cs="Calibri"/>
              </w:rPr>
            </w:pPr>
          </w:p>
        </w:tc>
        <w:tc>
          <w:tcPr>
            <w:tcW w:w="4188" w:type="dxa"/>
          </w:tcPr>
          <w:p w14:paraId="2B2F1E09" w14:textId="77777777" w:rsidR="001178B2" w:rsidRPr="00E07897" w:rsidRDefault="001178B2" w:rsidP="001178B2">
            <w:pPr>
              <w:rPr>
                <w:rFonts w:ascii="Calibri" w:hAnsi="Calibri" w:cs="Calibri"/>
              </w:rPr>
            </w:pPr>
          </w:p>
        </w:tc>
      </w:tr>
      <w:tr w:rsidR="001178B2" w:rsidRPr="00E07897" w14:paraId="325AA9E8" w14:textId="77777777" w:rsidTr="003B6F7A">
        <w:tc>
          <w:tcPr>
            <w:tcW w:w="13339" w:type="dxa"/>
            <w:gridSpan w:val="5"/>
            <w:shd w:val="clear" w:color="auto" w:fill="7030A0"/>
          </w:tcPr>
          <w:p w14:paraId="3D1D9144" w14:textId="1E2905BD" w:rsidR="001178B2" w:rsidRPr="002804C6" w:rsidRDefault="009B4E20" w:rsidP="001178B2">
            <w:pPr>
              <w:rPr>
                <w:rFonts w:ascii="Calibri" w:hAnsi="Calibri" w:cs="Calibri"/>
                <w:b/>
                <w:bCs/>
                <w:sz w:val="24"/>
                <w:szCs w:val="24"/>
              </w:rPr>
            </w:pPr>
            <w:r>
              <w:rPr>
                <w:rFonts w:ascii="Calibri" w:hAnsi="Calibri" w:cs="Calibri"/>
                <w:b/>
                <w:bCs/>
                <w:color w:val="FFFFFF" w:themeColor="background1"/>
                <w:sz w:val="24"/>
                <w:szCs w:val="24"/>
              </w:rPr>
              <w:t xml:space="preserve">EBA Richtsnoeren inzake uitbesteding - </w:t>
            </w:r>
            <w:r w:rsidR="001178B2" w:rsidRPr="002804C6">
              <w:rPr>
                <w:rFonts w:ascii="Calibri" w:hAnsi="Calibri" w:cs="Calibri"/>
                <w:b/>
                <w:bCs/>
                <w:color w:val="FFFFFF" w:themeColor="background1"/>
                <w:sz w:val="24"/>
                <w:szCs w:val="24"/>
              </w:rPr>
              <w:t>Voor kritieke of belangrijke functies - ALGEMEEN</w:t>
            </w:r>
          </w:p>
        </w:tc>
      </w:tr>
      <w:tr w:rsidR="007C5983" w:rsidRPr="00E07897" w14:paraId="53F61C9C" w14:textId="77777777" w:rsidTr="00E62E60">
        <w:tc>
          <w:tcPr>
            <w:tcW w:w="13339" w:type="dxa"/>
            <w:gridSpan w:val="5"/>
          </w:tcPr>
          <w:p w14:paraId="059626BD" w14:textId="77777777" w:rsidR="007C5983" w:rsidRDefault="007C5983" w:rsidP="001178B2">
            <w:pPr>
              <w:rPr>
                <w:rFonts w:ascii="Calibri" w:hAnsi="Calibri" w:cs="Calibri"/>
              </w:rPr>
            </w:pPr>
            <w:r>
              <w:rPr>
                <w:rFonts w:ascii="Calibri" w:hAnsi="Calibri" w:cs="Calibri"/>
                <w:b/>
                <w:bCs/>
              </w:rPr>
              <w:t xml:space="preserve">N.B.: </w:t>
            </w:r>
            <w:r w:rsidR="00ED4DAA">
              <w:rPr>
                <w:rFonts w:ascii="Calibri" w:hAnsi="Calibri" w:cs="Calibri"/>
              </w:rPr>
              <w:t>Paragraaf</w:t>
            </w:r>
            <w:r w:rsidR="00AD1A0A">
              <w:rPr>
                <w:rFonts w:ascii="Calibri" w:hAnsi="Calibri" w:cs="Calibri"/>
              </w:rPr>
              <w:t xml:space="preserve"> 4 van de EBA Richtsnoeren inzake uitbesteding bepalen wanneer een functie als kritiek of belangrijk wordt aangemerkt. Instellingen moeten </w:t>
            </w:r>
            <w:r w:rsidR="00ED4DAA">
              <w:rPr>
                <w:rFonts w:ascii="Calibri" w:hAnsi="Calibri" w:cs="Calibri"/>
              </w:rPr>
              <w:t xml:space="preserve">een functie altijd als kritiek of belangrijk aanmerken: </w:t>
            </w:r>
          </w:p>
          <w:p w14:paraId="00A16A8C" w14:textId="669C1C7B" w:rsidR="008823E9" w:rsidRPr="008823E9" w:rsidRDefault="008823E9" w:rsidP="008823E9">
            <w:pPr>
              <w:spacing w:after="0" w:line="240" w:lineRule="auto"/>
              <w:rPr>
                <w:rFonts w:ascii="Calibri" w:hAnsi="Calibri" w:cs="Calibri"/>
                <w:sz w:val="22"/>
                <w:szCs w:val="22"/>
              </w:rPr>
            </w:pPr>
            <w:r w:rsidRPr="008823E9">
              <w:rPr>
                <w:rFonts w:ascii="Calibri" w:hAnsi="Calibri" w:cs="Calibri"/>
                <w:sz w:val="22"/>
                <w:szCs w:val="22"/>
              </w:rPr>
              <w:t>a. wanneer een gebrekkige of tekortschietende uitvoering ervan materiële nadelige gevolgen zou hebben voor:</w:t>
            </w:r>
          </w:p>
          <w:p w14:paraId="7E05937E" w14:textId="3DE1319D" w:rsidR="008823E9" w:rsidRPr="008823E9" w:rsidRDefault="008823E9" w:rsidP="008823E9">
            <w:pPr>
              <w:spacing w:after="0" w:line="240" w:lineRule="auto"/>
              <w:rPr>
                <w:rFonts w:ascii="Calibri" w:hAnsi="Calibri" w:cs="Calibri"/>
                <w:sz w:val="22"/>
                <w:szCs w:val="22"/>
              </w:rPr>
            </w:pPr>
            <w:r w:rsidRPr="008823E9">
              <w:rPr>
                <w:rFonts w:ascii="Calibri" w:hAnsi="Calibri" w:cs="Calibri"/>
                <w:sz w:val="22"/>
                <w:szCs w:val="22"/>
              </w:rPr>
              <w:t xml:space="preserve">i. het voortdurend voldoen door </w:t>
            </w:r>
            <w:r w:rsidR="007756B9">
              <w:rPr>
                <w:rFonts w:ascii="Calibri" w:hAnsi="Calibri" w:cs="Calibri"/>
                <w:sz w:val="22"/>
                <w:szCs w:val="22"/>
              </w:rPr>
              <w:t>(betaal)</w:t>
            </w:r>
            <w:r w:rsidRPr="008823E9">
              <w:rPr>
                <w:rFonts w:ascii="Calibri" w:hAnsi="Calibri" w:cs="Calibri"/>
                <w:sz w:val="22"/>
                <w:szCs w:val="22"/>
              </w:rPr>
              <w:t>instellingen aan de vergunningsvoorwaarden of andere verplichtingen waaraan zij uit hoofde van Richtlijn 2013/36/EU</w:t>
            </w:r>
            <w:r w:rsidR="007756B9">
              <w:rPr>
                <w:rFonts w:ascii="Calibri" w:hAnsi="Calibri" w:cs="Calibri"/>
                <w:sz w:val="22"/>
                <w:szCs w:val="22"/>
              </w:rPr>
              <w:t xml:space="preserve"> (CRD IV)</w:t>
            </w:r>
            <w:r w:rsidRPr="008823E9">
              <w:rPr>
                <w:rFonts w:ascii="Calibri" w:hAnsi="Calibri" w:cs="Calibri"/>
                <w:sz w:val="22"/>
                <w:szCs w:val="22"/>
              </w:rPr>
              <w:t>, Verordening (EU) nr. 575/2013</w:t>
            </w:r>
            <w:r w:rsidR="00351D26">
              <w:rPr>
                <w:rFonts w:ascii="Calibri" w:hAnsi="Calibri" w:cs="Calibri"/>
                <w:sz w:val="22"/>
                <w:szCs w:val="22"/>
              </w:rPr>
              <w:t xml:space="preserve"> (CRR)</w:t>
            </w:r>
            <w:r w:rsidRPr="008823E9">
              <w:rPr>
                <w:rFonts w:ascii="Calibri" w:hAnsi="Calibri" w:cs="Calibri"/>
                <w:sz w:val="22"/>
                <w:szCs w:val="22"/>
              </w:rPr>
              <w:t>, Richtlijn 2014/65/EU</w:t>
            </w:r>
            <w:r w:rsidR="00351D26">
              <w:rPr>
                <w:rFonts w:ascii="Calibri" w:hAnsi="Calibri" w:cs="Calibri"/>
                <w:sz w:val="22"/>
                <w:szCs w:val="22"/>
              </w:rPr>
              <w:t xml:space="preserve"> (</w:t>
            </w:r>
            <w:proofErr w:type="spellStart"/>
            <w:r w:rsidR="00351D26">
              <w:rPr>
                <w:rFonts w:ascii="Calibri" w:hAnsi="Calibri" w:cs="Calibri"/>
                <w:sz w:val="22"/>
                <w:szCs w:val="22"/>
              </w:rPr>
              <w:t>MiFID</w:t>
            </w:r>
            <w:proofErr w:type="spellEnd"/>
            <w:r w:rsidR="00351D26">
              <w:rPr>
                <w:rFonts w:ascii="Calibri" w:hAnsi="Calibri" w:cs="Calibri"/>
                <w:sz w:val="22"/>
                <w:szCs w:val="22"/>
              </w:rPr>
              <w:t xml:space="preserve"> II)</w:t>
            </w:r>
            <w:r w:rsidRPr="008823E9">
              <w:rPr>
                <w:rFonts w:ascii="Calibri" w:hAnsi="Calibri" w:cs="Calibri"/>
                <w:sz w:val="22"/>
                <w:szCs w:val="22"/>
              </w:rPr>
              <w:t xml:space="preserve">, Richtlijn (EU) 2015/2366 </w:t>
            </w:r>
            <w:r w:rsidR="00351D26">
              <w:rPr>
                <w:rFonts w:ascii="Calibri" w:hAnsi="Calibri" w:cs="Calibri"/>
                <w:sz w:val="22"/>
                <w:szCs w:val="22"/>
              </w:rPr>
              <w:t xml:space="preserve">(PSD2) </w:t>
            </w:r>
            <w:r w:rsidRPr="008823E9">
              <w:rPr>
                <w:rFonts w:ascii="Calibri" w:hAnsi="Calibri" w:cs="Calibri"/>
                <w:sz w:val="22"/>
                <w:szCs w:val="22"/>
              </w:rPr>
              <w:t xml:space="preserve">en Richtlijn 2009/110/EG </w:t>
            </w:r>
            <w:r w:rsidR="00351D26">
              <w:rPr>
                <w:rFonts w:ascii="Calibri" w:hAnsi="Calibri" w:cs="Calibri"/>
                <w:sz w:val="22"/>
                <w:szCs w:val="22"/>
              </w:rPr>
              <w:t xml:space="preserve">(EMD 2) </w:t>
            </w:r>
            <w:r w:rsidRPr="008823E9">
              <w:rPr>
                <w:rFonts w:ascii="Calibri" w:hAnsi="Calibri" w:cs="Calibri"/>
                <w:sz w:val="22"/>
                <w:szCs w:val="22"/>
              </w:rPr>
              <w:t>zijn onderworpen, en van hun regelgevingsverplichtingen;</w:t>
            </w:r>
          </w:p>
          <w:p w14:paraId="36F83A71" w14:textId="77777777" w:rsidR="008823E9" w:rsidRPr="008823E9" w:rsidRDefault="008823E9" w:rsidP="008823E9">
            <w:pPr>
              <w:spacing w:after="0" w:line="240" w:lineRule="auto"/>
              <w:rPr>
                <w:rFonts w:ascii="Calibri" w:hAnsi="Calibri" w:cs="Calibri"/>
                <w:sz w:val="22"/>
                <w:szCs w:val="22"/>
              </w:rPr>
            </w:pPr>
            <w:r w:rsidRPr="008823E9">
              <w:rPr>
                <w:rFonts w:ascii="Calibri" w:hAnsi="Calibri" w:cs="Calibri"/>
                <w:sz w:val="22"/>
                <w:szCs w:val="22"/>
              </w:rPr>
              <w:t>ii. hun financiële resultaten; of</w:t>
            </w:r>
          </w:p>
          <w:p w14:paraId="6BE6C9A7" w14:textId="77777777" w:rsidR="008823E9" w:rsidRPr="008823E9" w:rsidRDefault="008823E9" w:rsidP="008823E9">
            <w:pPr>
              <w:spacing w:after="0" w:line="240" w:lineRule="auto"/>
              <w:rPr>
                <w:rFonts w:ascii="Calibri" w:hAnsi="Calibri" w:cs="Calibri"/>
                <w:sz w:val="22"/>
                <w:szCs w:val="22"/>
              </w:rPr>
            </w:pPr>
            <w:r w:rsidRPr="008823E9">
              <w:rPr>
                <w:rFonts w:ascii="Calibri" w:hAnsi="Calibri" w:cs="Calibri"/>
                <w:sz w:val="22"/>
                <w:szCs w:val="22"/>
              </w:rPr>
              <w:t>iii. de soliditeit of continuïteit van hun bank- en betalingsdiensten en -activiteiten;</w:t>
            </w:r>
          </w:p>
          <w:p w14:paraId="53DD3FF8" w14:textId="695B536C" w:rsidR="008823E9" w:rsidRPr="008823E9" w:rsidRDefault="008823E9" w:rsidP="008823E9">
            <w:pPr>
              <w:spacing w:after="0" w:line="240" w:lineRule="auto"/>
              <w:rPr>
                <w:rFonts w:ascii="Calibri" w:hAnsi="Calibri" w:cs="Calibri"/>
                <w:sz w:val="22"/>
                <w:szCs w:val="22"/>
              </w:rPr>
            </w:pPr>
            <w:r w:rsidRPr="008823E9">
              <w:rPr>
                <w:rFonts w:ascii="Calibri" w:hAnsi="Calibri" w:cs="Calibri"/>
                <w:sz w:val="22"/>
                <w:szCs w:val="22"/>
              </w:rPr>
              <w:t>b. wanneer operationele taken van interne controlefuncties worden uitbesteed, tenzij uit de beoordeling blijkt dat het geen nadelige gevolgen voor de doeltreffendheid van de interne controlefunctie zou hebben als de uitbestede functie niet of op onjuiste wijze zou worden verricht;</w:t>
            </w:r>
          </w:p>
          <w:p w14:paraId="55A5C7FD" w14:textId="357E1646" w:rsidR="008823E9" w:rsidRPr="00AD1A0A" w:rsidRDefault="008823E9" w:rsidP="001F60E3">
            <w:pPr>
              <w:rPr>
                <w:rFonts w:ascii="Calibri" w:hAnsi="Calibri" w:cs="Calibri"/>
              </w:rPr>
            </w:pPr>
            <w:r w:rsidRPr="008823E9">
              <w:rPr>
                <w:rFonts w:ascii="Calibri" w:hAnsi="Calibri" w:cs="Calibri"/>
              </w:rPr>
              <w:t>c. wanneer zij van plan zijn functies van bankactiviteiten of betalingsdiensten op zo'n schaal uit te besteden dat daarvoor toestemming van een bevoegde autoriteit nodig is</w:t>
            </w:r>
            <w:r w:rsidR="001F60E3">
              <w:rPr>
                <w:rFonts w:ascii="Calibri" w:hAnsi="Calibri" w:cs="Calibri"/>
              </w:rPr>
              <w:t>.</w:t>
            </w:r>
          </w:p>
        </w:tc>
      </w:tr>
      <w:tr w:rsidR="007C52C0" w:rsidRPr="00E07897" w14:paraId="51DEABB2" w14:textId="77777777" w:rsidTr="00101194">
        <w:tc>
          <w:tcPr>
            <w:tcW w:w="703" w:type="dxa"/>
          </w:tcPr>
          <w:p w14:paraId="6A4648B5" w14:textId="451ECE2E" w:rsidR="001178B2" w:rsidRPr="00E07897" w:rsidRDefault="00711AB1" w:rsidP="001178B2">
            <w:pPr>
              <w:rPr>
                <w:rFonts w:ascii="Calibri" w:hAnsi="Calibri" w:cs="Calibri"/>
                <w:sz w:val="24"/>
                <w:szCs w:val="24"/>
              </w:rPr>
            </w:pPr>
            <w:r w:rsidRPr="00E07897">
              <w:rPr>
                <w:rFonts w:ascii="Calibri" w:hAnsi="Calibri" w:cs="Calibri"/>
                <w:sz w:val="24"/>
                <w:szCs w:val="24"/>
              </w:rPr>
              <w:t>22</w:t>
            </w:r>
            <w:r w:rsidR="001178B2" w:rsidRPr="00E07897">
              <w:rPr>
                <w:rFonts w:ascii="Calibri" w:hAnsi="Calibri" w:cs="Calibri"/>
                <w:sz w:val="24"/>
                <w:szCs w:val="24"/>
              </w:rPr>
              <w:t>.</w:t>
            </w:r>
          </w:p>
        </w:tc>
        <w:tc>
          <w:tcPr>
            <w:tcW w:w="5174" w:type="dxa"/>
          </w:tcPr>
          <w:p w14:paraId="256030CE" w14:textId="04A009DB"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 xml:space="preserve">Of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is toegestaan en zo ja, onder welke voorwaarden. Alle soorten activiteiten die van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zijn uitgesloten moeten worden vermeld. </w:t>
            </w:r>
          </w:p>
        </w:tc>
        <w:tc>
          <w:tcPr>
            <w:tcW w:w="1445" w:type="dxa"/>
          </w:tcPr>
          <w:p w14:paraId="763D1BA2" w14:textId="77777777" w:rsidR="001178B2" w:rsidRPr="00E07897" w:rsidRDefault="001178B2" w:rsidP="001178B2">
            <w:pPr>
              <w:rPr>
                <w:rFonts w:ascii="Calibri" w:hAnsi="Calibri" w:cs="Calibri"/>
                <w:sz w:val="24"/>
                <w:szCs w:val="24"/>
              </w:rPr>
            </w:pPr>
          </w:p>
        </w:tc>
        <w:tc>
          <w:tcPr>
            <w:tcW w:w="1829" w:type="dxa"/>
          </w:tcPr>
          <w:p w14:paraId="215A1D06" w14:textId="77777777" w:rsidR="001178B2" w:rsidRPr="00E07897" w:rsidRDefault="001178B2" w:rsidP="001178B2">
            <w:pPr>
              <w:rPr>
                <w:rFonts w:ascii="Calibri" w:hAnsi="Calibri" w:cs="Calibri"/>
                <w:sz w:val="24"/>
                <w:szCs w:val="24"/>
              </w:rPr>
            </w:pPr>
          </w:p>
        </w:tc>
        <w:tc>
          <w:tcPr>
            <w:tcW w:w="4188" w:type="dxa"/>
          </w:tcPr>
          <w:p w14:paraId="19183CBC" w14:textId="77777777" w:rsidR="001178B2" w:rsidRPr="00E07897" w:rsidRDefault="001178B2" w:rsidP="001178B2">
            <w:pPr>
              <w:rPr>
                <w:rFonts w:ascii="Calibri" w:hAnsi="Calibri" w:cs="Calibri"/>
                <w:sz w:val="24"/>
                <w:szCs w:val="24"/>
              </w:rPr>
            </w:pPr>
          </w:p>
        </w:tc>
      </w:tr>
      <w:tr w:rsidR="007C52C0" w:rsidRPr="00E07897" w14:paraId="36828214" w14:textId="77777777" w:rsidTr="00101194">
        <w:tc>
          <w:tcPr>
            <w:tcW w:w="703" w:type="dxa"/>
          </w:tcPr>
          <w:p w14:paraId="20EBEE81" w14:textId="710C182D" w:rsidR="001178B2" w:rsidRPr="00E07897" w:rsidRDefault="00711AB1" w:rsidP="001178B2">
            <w:pPr>
              <w:rPr>
                <w:rFonts w:ascii="Calibri" w:hAnsi="Calibri" w:cs="Calibri"/>
                <w:sz w:val="24"/>
                <w:szCs w:val="24"/>
              </w:rPr>
            </w:pPr>
            <w:r w:rsidRPr="00E07897">
              <w:rPr>
                <w:rFonts w:ascii="Calibri" w:hAnsi="Calibri" w:cs="Calibri"/>
                <w:sz w:val="24"/>
                <w:szCs w:val="24"/>
              </w:rPr>
              <w:t>23</w:t>
            </w:r>
            <w:r w:rsidR="001178B2" w:rsidRPr="00E07897">
              <w:rPr>
                <w:rFonts w:ascii="Calibri" w:hAnsi="Calibri" w:cs="Calibri"/>
                <w:sz w:val="24"/>
                <w:szCs w:val="24"/>
              </w:rPr>
              <w:t>.</w:t>
            </w:r>
          </w:p>
        </w:tc>
        <w:tc>
          <w:tcPr>
            <w:tcW w:w="5174" w:type="dxa"/>
          </w:tcPr>
          <w:p w14:paraId="162991AC" w14:textId="5C275669"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De locatie(s) (d.w.z. regio's of landen) waar de kritieke of belangrijke functie zal worden verricht en/of waar de relevante gegevens zullen worden bewaard en verwerkt, inclusief de mogelijke opslaglocatie, en de voorwaarden waaraan moet worden voldaan, met inbegrip van de vereiste om de (betaal)instelling in kennis te stellen als de dienstverlener voorstelt de locatie(s) te wijzigen.</w:t>
            </w:r>
          </w:p>
        </w:tc>
        <w:tc>
          <w:tcPr>
            <w:tcW w:w="1445" w:type="dxa"/>
          </w:tcPr>
          <w:p w14:paraId="53C63FE9" w14:textId="77777777" w:rsidR="001178B2" w:rsidRPr="00E07897" w:rsidRDefault="001178B2" w:rsidP="001178B2">
            <w:pPr>
              <w:rPr>
                <w:rFonts w:ascii="Calibri" w:hAnsi="Calibri" w:cs="Calibri"/>
                <w:sz w:val="24"/>
                <w:szCs w:val="24"/>
              </w:rPr>
            </w:pPr>
          </w:p>
        </w:tc>
        <w:tc>
          <w:tcPr>
            <w:tcW w:w="1829" w:type="dxa"/>
          </w:tcPr>
          <w:p w14:paraId="778EB1F8" w14:textId="77777777" w:rsidR="001178B2" w:rsidRPr="00E07897" w:rsidRDefault="001178B2" w:rsidP="001178B2">
            <w:pPr>
              <w:rPr>
                <w:rFonts w:ascii="Calibri" w:hAnsi="Calibri" w:cs="Calibri"/>
                <w:sz w:val="24"/>
                <w:szCs w:val="24"/>
              </w:rPr>
            </w:pPr>
          </w:p>
        </w:tc>
        <w:tc>
          <w:tcPr>
            <w:tcW w:w="4188" w:type="dxa"/>
          </w:tcPr>
          <w:p w14:paraId="384E7F9D" w14:textId="77777777" w:rsidR="001178B2" w:rsidRPr="00E07897" w:rsidRDefault="001178B2" w:rsidP="001178B2">
            <w:pPr>
              <w:rPr>
                <w:rFonts w:ascii="Calibri" w:hAnsi="Calibri" w:cs="Calibri"/>
                <w:sz w:val="24"/>
                <w:szCs w:val="24"/>
              </w:rPr>
            </w:pPr>
          </w:p>
        </w:tc>
      </w:tr>
      <w:tr w:rsidR="007C52C0" w:rsidRPr="00E07897" w14:paraId="741B655B" w14:textId="77777777" w:rsidTr="00101194">
        <w:tc>
          <w:tcPr>
            <w:tcW w:w="703" w:type="dxa"/>
          </w:tcPr>
          <w:p w14:paraId="0325E591" w14:textId="4C2BD26E" w:rsidR="001178B2" w:rsidRPr="00E07897" w:rsidRDefault="00711AB1" w:rsidP="001178B2">
            <w:pPr>
              <w:rPr>
                <w:rFonts w:ascii="Calibri" w:hAnsi="Calibri" w:cs="Calibri"/>
                <w:sz w:val="24"/>
                <w:szCs w:val="24"/>
              </w:rPr>
            </w:pPr>
            <w:r w:rsidRPr="00E07897">
              <w:rPr>
                <w:rFonts w:ascii="Calibri" w:hAnsi="Calibri" w:cs="Calibri"/>
                <w:sz w:val="24"/>
                <w:szCs w:val="24"/>
              </w:rPr>
              <w:t>24</w:t>
            </w:r>
            <w:r w:rsidR="001178B2" w:rsidRPr="00E07897">
              <w:rPr>
                <w:rFonts w:ascii="Calibri" w:hAnsi="Calibri" w:cs="Calibri"/>
                <w:sz w:val="24"/>
                <w:szCs w:val="24"/>
              </w:rPr>
              <w:t>.</w:t>
            </w:r>
          </w:p>
        </w:tc>
        <w:tc>
          <w:tcPr>
            <w:tcW w:w="5174" w:type="dxa"/>
          </w:tcPr>
          <w:p w14:paraId="5FE4A85E" w14:textId="72947554"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 xml:space="preserve">Het onbeperkte recht van de (betaal)instelling en toezichthouders om de dienstverlener te inspecteren en te controleren, vooral als het gaat </w:t>
            </w:r>
            <w:r w:rsidRPr="00E07897">
              <w:rPr>
                <w:rFonts w:ascii="Calibri" w:hAnsi="Calibri" w:cs="Calibri"/>
                <w:color w:val="000000"/>
                <w:sz w:val="24"/>
                <w:szCs w:val="24"/>
              </w:rPr>
              <w:lastRenderedPageBreak/>
              <w:t>om de kritieke of belangrijke uitbestede functie, met inbegrip van volledige toegang tot alle relevante bedrijfslocaties (bijv. hoofdkantoren en operationele centra), inclusief het volledige scala aan relevante apparatuur, systemen, netwerken, informatie en gegevens die worden gebruikt om de uitbestede functie te verrichten en bijbehorende financiële informatie, personeel en de externe auditors van de dienstverlener</w:t>
            </w:r>
            <w:r w:rsidR="003614B1">
              <w:rPr>
                <w:rFonts w:ascii="Calibri" w:hAnsi="Calibri" w:cs="Calibri"/>
                <w:color w:val="000000"/>
                <w:sz w:val="24"/>
                <w:szCs w:val="24"/>
              </w:rPr>
              <w:t>.</w:t>
            </w:r>
          </w:p>
        </w:tc>
        <w:tc>
          <w:tcPr>
            <w:tcW w:w="1445" w:type="dxa"/>
          </w:tcPr>
          <w:p w14:paraId="621BFCEF" w14:textId="77777777" w:rsidR="001178B2" w:rsidRPr="00E07897" w:rsidRDefault="001178B2" w:rsidP="001178B2">
            <w:pPr>
              <w:rPr>
                <w:rFonts w:ascii="Calibri" w:hAnsi="Calibri" w:cs="Calibri"/>
                <w:sz w:val="24"/>
                <w:szCs w:val="24"/>
              </w:rPr>
            </w:pPr>
          </w:p>
        </w:tc>
        <w:tc>
          <w:tcPr>
            <w:tcW w:w="1829" w:type="dxa"/>
          </w:tcPr>
          <w:p w14:paraId="66C3450C" w14:textId="77777777" w:rsidR="001178B2" w:rsidRPr="00E07897" w:rsidRDefault="001178B2" w:rsidP="001178B2">
            <w:pPr>
              <w:rPr>
                <w:rFonts w:ascii="Calibri" w:hAnsi="Calibri" w:cs="Calibri"/>
                <w:sz w:val="24"/>
                <w:szCs w:val="24"/>
              </w:rPr>
            </w:pPr>
          </w:p>
        </w:tc>
        <w:tc>
          <w:tcPr>
            <w:tcW w:w="4188" w:type="dxa"/>
          </w:tcPr>
          <w:p w14:paraId="6C3CD099" w14:textId="77777777" w:rsidR="001178B2" w:rsidRPr="00E07897" w:rsidRDefault="001178B2" w:rsidP="001178B2">
            <w:pPr>
              <w:rPr>
                <w:rFonts w:ascii="Calibri" w:hAnsi="Calibri" w:cs="Calibri"/>
                <w:sz w:val="24"/>
                <w:szCs w:val="24"/>
              </w:rPr>
            </w:pPr>
          </w:p>
        </w:tc>
      </w:tr>
      <w:tr w:rsidR="007C52C0" w:rsidRPr="00E07897" w14:paraId="45FC9ABF" w14:textId="77777777" w:rsidTr="00101194">
        <w:tc>
          <w:tcPr>
            <w:tcW w:w="703" w:type="dxa"/>
          </w:tcPr>
          <w:p w14:paraId="70BD08F2" w14:textId="261FAA6E" w:rsidR="001178B2" w:rsidRPr="00E07897" w:rsidRDefault="001178B2" w:rsidP="001178B2">
            <w:pPr>
              <w:rPr>
                <w:rFonts w:ascii="Calibri" w:hAnsi="Calibri" w:cs="Calibri"/>
                <w:sz w:val="24"/>
                <w:szCs w:val="24"/>
              </w:rPr>
            </w:pPr>
            <w:r w:rsidRPr="00E07897">
              <w:rPr>
                <w:rFonts w:ascii="Calibri" w:hAnsi="Calibri" w:cs="Calibri"/>
                <w:sz w:val="24"/>
                <w:szCs w:val="24"/>
              </w:rPr>
              <w:t>2</w:t>
            </w:r>
            <w:r w:rsidR="00711AB1" w:rsidRPr="00E07897">
              <w:rPr>
                <w:rFonts w:ascii="Calibri" w:hAnsi="Calibri" w:cs="Calibri"/>
                <w:sz w:val="24"/>
                <w:szCs w:val="24"/>
              </w:rPr>
              <w:t>5</w:t>
            </w:r>
            <w:r w:rsidRPr="00E07897">
              <w:rPr>
                <w:rFonts w:ascii="Calibri" w:hAnsi="Calibri" w:cs="Calibri"/>
                <w:sz w:val="24"/>
                <w:szCs w:val="24"/>
              </w:rPr>
              <w:t>.</w:t>
            </w:r>
          </w:p>
        </w:tc>
        <w:tc>
          <w:tcPr>
            <w:tcW w:w="5174" w:type="dxa"/>
          </w:tcPr>
          <w:p w14:paraId="1F0D13C4" w14:textId="44661A0A"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De verplichting van de dienstverlener om aan alle toepasselijke wet- en regelgeving en contractuele verplichtingen te voldoen</w:t>
            </w:r>
            <w:r w:rsidR="003614B1">
              <w:rPr>
                <w:rFonts w:ascii="Calibri" w:hAnsi="Calibri" w:cs="Calibri"/>
                <w:color w:val="000000"/>
                <w:sz w:val="24"/>
                <w:szCs w:val="24"/>
              </w:rPr>
              <w:t>.</w:t>
            </w:r>
          </w:p>
        </w:tc>
        <w:tc>
          <w:tcPr>
            <w:tcW w:w="1445" w:type="dxa"/>
          </w:tcPr>
          <w:p w14:paraId="53BC16C0" w14:textId="77777777" w:rsidR="001178B2" w:rsidRPr="00E07897" w:rsidRDefault="001178B2" w:rsidP="001178B2">
            <w:pPr>
              <w:rPr>
                <w:rFonts w:ascii="Calibri" w:hAnsi="Calibri" w:cs="Calibri"/>
                <w:sz w:val="24"/>
                <w:szCs w:val="24"/>
              </w:rPr>
            </w:pPr>
          </w:p>
        </w:tc>
        <w:tc>
          <w:tcPr>
            <w:tcW w:w="1829" w:type="dxa"/>
          </w:tcPr>
          <w:p w14:paraId="71C1A7B4" w14:textId="77777777" w:rsidR="001178B2" w:rsidRPr="00E07897" w:rsidRDefault="001178B2" w:rsidP="001178B2">
            <w:pPr>
              <w:rPr>
                <w:rFonts w:ascii="Calibri" w:hAnsi="Calibri" w:cs="Calibri"/>
                <w:sz w:val="24"/>
                <w:szCs w:val="24"/>
              </w:rPr>
            </w:pPr>
          </w:p>
        </w:tc>
        <w:tc>
          <w:tcPr>
            <w:tcW w:w="4188" w:type="dxa"/>
          </w:tcPr>
          <w:p w14:paraId="2D4B8A12" w14:textId="77777777" w:rsidR="001178B2" w:rsidRPr="00E07897" w:rsidRDefault="001178B2" w:rsidP="001178B2">
            <w:pPr>
              <w:rPr>
                <w:rFonts w:ascii="Calibri" w:hAnsi="Calibri" w:cs="Calibri"/>
                <w:sz w:val="24"/>
                <w:szCs w:val="24"/>
              </w:rPr>
            </w:pPr>
          </w:p>
        </w:tc>
      </w:tr>
      <w:tr w:rsidR="001178B2" w:rsidRPr="00E07897" w14:paraId="59EE7FAA" w14:textId="77777777" w:rsidTr="0067172A">
        <w:tc>
          <w:tcPr>
            <w:tcW w:w="13339" w:type="dxa"/>
            <w:gridSpan w:val="5"/>
            <w:shd w:val="clear" w:color="auto" w:fill="7030A0"/>
          </w:tcPr>
          <w:p w14:paraId="15E3A99C" w14:textId="4DF42DA6" w:rsidR="001178B2" w:rsidRPr="002804C6" w:rsidRDefault="009B4E20" w:rsidP="001178B2">
            <w:pPr>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EBA Richtsnoeren inzake uitbesteding - </w:t>
            </w:r>
            <w:r w:rsidR="001178B2" w:rsidRPr="002804C6">
              <w:rPr>
                <w:rFonts w:ascii="Calibri" w:hAnsi="Calibri" w:cs="Calibri"/>
                <w:b/>
                <w:bCs/>
                <w:color w:val="FFFFFF" w:themeColor="background1"/>
                <w:sz w:val="24"/>
                <w:szCs w:val="24"/>
              </w:rPr>
              <w:t>Voor kritieke of belangrijke functies – ALS ONDERUITBESTEDING IS TOEGESTAAN</w:t>
            </w:r>
          </w:p>
        </w:tc>
      </w:tr>
      <w:tr w:rsidR="007C52C0" w:rsidRPr="00E07897" w14:paraId="70EC3391" w14:textId="77777777" w:rsidTr="00101194">
        <w:tc>
          <w:tcPr>
            <w:tcW w:w="703" w:type="dxa"/>
          </w:tcPr>
          <w:p w14:paraId="6641493B" w14:textId="734616DC" w:rsidR="001178B2" w:rsidRPr="00E07897" w:rsidRDefault="001178B2" w:rsidP="001178B2">
            <w:pPr>
              <w:rPr>
                <w:rFonts w:ascii="Calibri" w:hAnsi="Calibri" w:cs="Calibri"/>
                <w:sz w:val="24"/>
                <w:szCs w:val="24"/>
              </w:rPr>
            </w:pPr>
            <w:r w:rsidRPr="00E07897">
              <w:rPr>
                <w:rFonts w:ascii="Calibri" w:hAnsi="Calibri" w:cs="Calibri"/>
                <w:sz w:val="24"/>
                <w:szCs w:val="24"/>
              </w:rPr>
              <w:t>2</w:t>
            </w:r>
            <w:r w:rsidR="00711AB1" w:rsidRPr="00E07897">
              <w:rPr>
                <w:rFonts w:ascii="Calibri" w:hAnsi="Calibri" w:cs="Calibri"/>
                <w:sz w:val="24"/>
                <w:szCs w:val="24"/>
              </w:rPr>
              <w:t>6</w:t>
            </w:r>
            <w:r w:rsidRPr="00E07897">
              <w:rPr>
                <w:rFonts w:ascii="Calibri" w:hAnsi="Calibri" w:cs="Calibri"/>
                <w:sz w:val="24"/>
                <w:szCs w:val="24"/>
              </w:rPr>
              <w:t>.</w:t>
            </w:r>
          </w:p>
        </w:tc>
        <w:tc>
          <w:tcPr>
            <w:tcW w:w="5174" w:type="dxa"/>
          </w:tcPr>
          <w:p w14:paraId="71A351D8" w14:textId="305A48F8"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De verplichting van de dienstverlener om toezicht te houden op diensten die hij h</w:t>
            </w:r>
            <w:r w:rsidR="00785D84">
              <w:rPr>
                <w:rFonts w:ascii="Calibri" w:hAnsi="Calibri" w:cs="Calibri"/>
                <w:color w:val="000000"/>
                <w:sz w:val="24"/>
                <w:szCs w:val="24"/>
              </w:rPr>
              <w:t>e</w:t>
            </w:r>
            <w:r w:rsidRPr="00E07897">
              <w:rPr>
                <w:rFonts w:ascii="Calibri" w:hAnsi="Calibri" w:cs="Calibri"/>
                <w:color w:val="000000"/>
                <w:sz w:val="24"/>
                <w:szCs w:val="24"/>
              </w:rPr>
              <w:t xml:space="preserve">eft </w:t>
            </w:r>
            <w:proofErr w:type="spellStart"/>
            <w:r w:rsidRPr="00E07897">
              <w:rPr>
                <w:rFonts w:ascii="Calibri" w:hAnsi="Calibri" w:cs="Calibri"/>
                <w:color w:val="000000"/>
                <w:sz w:val="24"/>
                <w:szCs w:val="24"/>
              </w:rPr>
              <w:t>onderuitbesteed</w:t>
            </w:r>
            <w:proofErr w:type="spellEnd"/>
            <w:r w:rsidRPr="00E07897">
              <w:rPr>
                <w:rFonts w:ascii="Calibri" w:hAnsi="Calibri" w:cs="Calibri"/>
                <w:color w:val="000000"/>
                <w:sz w:val="24"/>
                <w:szCs w:val="24"/>
              </w:rPr>
              <w:t>, om ervoor te zorgen dat de contractuele verplichtingen tussen de dienstverlener en de (betaal)instelling voortdurend worden nagekomen</w:t>
            </w:r>
            <w:r w:rsidR="00C42A80">
              <w:rPr>
                <w:rFonts w:ascii="Calibri" w:hAnsi="Calibri" w:cs="Calibri"/>
                <w:color w:val="000000"/>
                <w:sz w:val="24"/>
                <w:szCs w:val="24"/>
              </w:rPr>
              <w:t>.</w:t>
            </w:r>
          </w:p>
        </w:tc>
        <w:tc>
          <w:tcPr>
            <w:tcW w:w="1445" w:type="dxa"/>
          </w:tcPr>
          <w:p w14:paraId="2187BD83" w14:textId="77777777" w:rsidR="001178B2" w:rsidRPr="00E07897" w:rsidRDefault="001178B2" w:rsidP="001178B2">
            <w:pPr>
              <w:rPr>
                <w:rFonts w:ascii="Calibri" w:hAnsi="Calibri" w:cs="Calibri"/>
                <w:sz w:val="24"/>
                <w:szCs w:val="24"/>
              </w:rPr>
            </w:pPr>
          </w:p>
        </w:tc>
        <w:tc>
          <w:tcPr>
            <w:tcW w:w="1829" w:type="dxa"/>
          </w:tcPr>
          <w:p w14:paraId="6F7E0FBF" w14:textId="77777777" w:rsidR="001178B2" w:rsidRPr="00E07897" w:rsidRDefault="001178B2" w:rsidP="001178B2">
            <w:pPr>
              <w:rPr>
                <w:rFonts w:ascii="Calibri" w:hAnsi="Calibri" w:cs="Calibri"/>
                <w:sz w:val="24"/>
                <w:szCs w:val="24"/>
              </w:rPr>
            </w:pPr>
          </w:p>
        </w:tc>
        <w:tc>
          <w:tcPr>
            <w:tcW w:w="4188" w:type="dxa"/>
          </w:tcPr>
          <w:p w14:paraId="522F0553" w14:textId="77777777" w:rsidR="001178B2" w:rsidRPr="00E07897" w:rsidRDefault="001178B2" w:rsidP="001178B2">
            <w:pPr>
              <w:rPr>
                <w:rFonts w:ascii="Calibri" w:hAnsi="Calibri" w:cs="Calibri"/>
                <w:sz w:val="24"/>
                <w:szCs w:val="24"/>
              </w:rPr>
            </w:pPr>
          </w:p>
        </w:tc>
      </w:tr>
      <w:tr w:rsidR="007C52C0" w:rsidRPr="00E07897" w14:paraId="58C53464" w14:textId="77777777" w:rsidTr="00101194">
        <w:tc>
          <w:tcPr>
            <w:tcW w:w="703" w:type="dxa"/>
          </w:tcPr>
          <w:p w14:paraId="369DEC73" w14:textId="7627EED2" w:rsidR="001178B2" w:rsidRPr="00E07897" w:rsidRDefault="001178B2" w:rsidP="001178B2">
            <w:pPr>
              <w:rPr>
                <w:rFonts w:ascii="Calibri" w:hAnsi="Calibri" w:cs="Calibri"/>
                <w:sz w:val="24"/>
                <w:szCs w:val="24"/>
              </w:rPr>
            </w:pPr>
            <w:r w:rsidRPr="00E07897">
              <w:rPr>
                <w:rFonts w:ascii="Calibri" w:hAnsi="Calibri" w:cs="Calibri"/>
                <w:sz w:val="24"/>
                <w:szCs w:val="24"/>
              </w:rPr>
              <w:t>2</w:t>
            </w:r>
            <w:r w:rsidR="00711AB1" w:rsidRPr="00E07897">
              <w:rPr>
                <w:rFonts w:ascii="Calibri" w:hAnsi="Calibri" w:cs="Calibri"/>
                <w:sz w:val="24"/>
                <w:szCs w:val="24"/>
              </w:rPr>
              <w:t>7</w:t>
            </w:r>
            <w:r w:rsidRPr="00E07897">
              <w:rPr>
                <w:rFonts w:ascii="Calibri" w:hAnsi="Calibri" w:cs="Calibri"/>
                <w:sz w:val="24"/>
                <w:szCs w:val="24"/>
              </w:rPr>
              <w:t>.</w:t>
            </w:r>
          </w:p>
        </w:tc>
        <w:tc>
          <w:tcPr>
            <w:tcW w:w="5174" w:type="dxa"/>
          </w:tcPr>
          <w:p w14:paraId="6384DAE8" w14:textId="12AE24E5" w:rsidR="001178B2" w:rsidRPr="00E07897" w:rsidRDefault="001178B2" w:rsidP="001178B2">
            <w:pPr>
              <w:rPr>
                <w:rFonts w:ascii="Calibri" w:hAnsi="Calibri" w:cs="Calibri"/>
                <w:color w:val="000000"/>
                <w:sz w:val="24"/>
                <w:szCs w:val="24"/>
              </w:rPr>
            </w:pPr>
            <w:r w:rsidRPr="00E07897">
              <w:rPr>
                <w:rFonts w:ascii="Calibri" w:hAnsi="Calibri" w:cs="Calibri"/>
                <w:color w:val="000000"/>
                <w:sz w:val="24"/>
                <w:szCs w:val="24"/>
              </w:rPr>
              <w:t xml:space="preserve">De verplichting voor de dienstverlener om voorafgaande specifieke of algemene schriftelijke toestemming van de (betaal)instelling te krijgen alvorens tot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van de gegevens over te gaan</w:t>
            </w:r>
            <w:r w:rsidR="00C42A80">
              <w:rPr>
                <w:rFonts w:ascii="Calibri" w:hAnsi="Calibri" w:cs="Calibri"/>
                <w:color w:val="000000"/>
                <w:sz w:val="24"/>
                <w:szCs w:val="24"/>
              </w:rPr>
              <w:t>.</w:t>
            </w:r>
          </w:p>
        </w:tc>
        <w:tc>
          <w:tcPr>
            <w:tcW w:w="1445" w:type="dxa"/>
          </w:tcPr>
          <w:p w14:paraId="7ACEDC08" w14:textId="77777777" w:rsidR="001178B2" w:rsidRPr="00E07897" w:rsidRDefault="001178B2" w:rsidP="001178B2">
            <w:pPr>
              <w:rPr>
                <w:rFonts w:ascii="Calibri" w:hAnsi="Calibri" w:cs="Calibri"/>
                <w:sz w:val="24"/>
                <w:szCs w:val="24"/>
              </w:rPr>
            </w:pPr>
          </w:p>
        </w:tc>
        <w:tc>
          <w:tcPr>
            <w:tcW w:w="1829" w:type="dxa"/>
          </w:tcPr>
          <w:p w14:paraId="6CDC125E" w14:textId="77777777" w:rsidR="001178B2" w:rsidRPr="00E07897" w:rsidRDefault="001178B2" w:rsidP="001178B2">
            <w:pPr>
              <w:rPr>
                <w:rFonts w:ascii="Calibri" w:hAnsi="Calibri" w:cs="Calibri"/>
                <w:sz w:val="24"/>
                <w:szCs w:val="24"/>
              </w:rPr>
            </w:pPr>
          </w:p>
        </w:tc>
        <w:tc>
          <w:tcPr>
            <w:tcW w:w="4188" w:type="dxa"/>
          </w:tcPr>
          <w:p w14:paraId="51B99CE7" w14:textId="77777777" w:rsidR="001178B2" w:rsidRPr="00E07897" w:rsidRDefault="001178B2" w:rsidP="001178B2">
            <w:pPr>
              <w:rPr>
                <w:rFonts w:ascii="Calibri" w:hAnsi="Calibri" w:cs="Calibri"/>
                <w:sz w:val="24"/>
                <w:szCs w:val="24"/>
              </w:rPr>
            </w:pPr>
          </w:p>
        </w:tc>
      </w:tr>
      <w:tr w:rsidR="007C52C0" w:rsidRPr="00E07897" w14:paraId="2A5AD54E" w14:textId="77777777" w:rsidTr="00101194">
        <w:tc>
          <w:tcPr>
            <w:tcW w:w="703" w:type="dxa"/>
          </w:tcPr>
          <w:p w14:paraId="6BE9DF7B" w14:textId="675ABBC1" w:rsidR="001178B2" w:rsidRPr="00E07897" w:rsidRDefault="001178B2" w:rsidP="001178B2">
            <w:pPr>
              <w:rPr>
                <w:rFonts w:ascii="Calibri" w:hAnsi="Calibri" w:cs="Calibri"/>
                <w:sz w:val="24"/>
                <w:szCs w:val="24"/>
              </w:rPr>
            </w:pPr>
            <w:r w:rsidRPr="00E07897">
              <w:rPr>
                <w:rFonts w:ascii="Calibri" w:hAnsi="Calibri" w:cs="Calibri"/>
                <w:sz w:val="24"/>
                <w:szCs w:val="24"/>
              </w:rPr>
              <w:t>2</w:t>
            </w:r>
            <w:r w:rsidR="00711AB1" w:rsidRPr="00E07897">
              <w:rPr>
                <w:rFonts w:ascii="Calibri" w:hAnsi="Calibri" w:cs="Calibri"/>
                <w:sz w:val="24"/>
                <w:szCs w:val="24"/>
              </w:rPr>
              <w:t>8</w:t>
            </w:r>
            <w:r w:rsidRPr="00E07897">
              <w:rPr>
                <w:rFonts w:ascii="Calibri" w:hAnsi="Calibri" w:cs="Calibri"/>
                <w:sz w:val="24"/>
                <w:szCs w:val="24"/>
              </w:rPr>
              <w:t>.</w:t>
            </w:r>
          </w:p>
        </w:tc>
        <w:tc>
          <w:tcPr>
            <w:tcW w:w="5174" w:type="dxa"/>
          </w:tcPr>
          <w:p w14:paraId="062F678D" w14:textId="28094CD1" w:rsidR="001178B2" w:rsidRPr="00E07897" w:rsidRDefault="001178B2" w:rsidP="001178B2">
            <w:pPr>
              <w:rPr>
                <w:rFonts w:ascii="Calibri" w:hAnsi="Calibri" w:cs="Calibri"/>
                <w:color w:val="000000"/>
                <w:sz w:val="24"/>
                <w:szCs w:val="24"/>
              </w:rPr>
            </w:pPr>
            <w:r w:rsidRPr="00E07897">
              <w:rPr>
                <w:rFonts w:ascii="Calibri" w:hAnsi="Calibri" w:cs="Calibri"/>
                <w:color w:val="000000"/>
                <w:sz w:val="24"/>
                <w:szCs w:val="24"/>
              </w:rPr>
              <w:t xml:space="preserve">Een verplichting voor de dienstverlener om de (betaal)instelling te informeren over elke geplande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of materiële wijzigingen daarin, met name wanneer de dienstverlener zijn </w:t>
            </w:r>
            <w:r w:rsidRPr="00E07897">
              <w:rPr>
                <w:rFonts w:ascii="Calibri" w:hAnsi="Calibri" w:cs="Calibri"/>
                <w:color w:val="000000"/>
                <w:sz w:val="24"/>
                <w:szCs w:val="24"/>
              </w:rPr>
              <w:lastRenderedPageBreak/>
              <w:t xml:space="preserve">verantwoordelijkheden op grond van de uitbestedingsovereenkomst daardoor minder goed kan vervullen. De kennisgevingstermijn moet de uitbestedende (betaal)instelling in staat stellen de risico's van de voorgestelde wijzigingen te beoordelen en bezwaar te maken tegen wijzigingen voordat de geplande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of materiële wijzigingen daarin, plaatsvinden.</w:t>
            </w:r>
          </w:p>
        </w:tc>
        <w:tc>
          <w:tcPr>
            <w:tcW w:w="1445" w:type="dxa"/>
          </w:tcPr>
          <w:p w14:paraId="63A4350F" w14:textId="77777777" w:rsidR="001178B2" w:rsidRPr="00E07897" w:rsidRDefault="001178B2" w:rsidP="001178B2">
            <w:pPr>
              <w:rPr>
                <w:rFonts w:ascii="Calibri" w:hAnsi="Calibri" w:cs="Calibri"/>
                <w:sz w:val="24"/>
                <w:szCs w:val="24"/>
              </w:rPr>
            </w:pPr>
          </w:p>
        </w:tc>
        <w:tc>
          <w:tcPr>
            <w:tcW w:w="1829" w:type="dxa"/>
          </w:tcPr>
          <w:p w14:paraId="2D945A11" w14:textId="77777777" w:rsidR="001178B2" w:rsidRPr="00E07897" w:rsidRDefault="001178B2" w:rsidP="001178B2">
            <w:pPr>
              <w:rPr>
                <w:rFonts w:ascii="Calibri" w:hAnsi="Calibri" w:cs="Calibri"/>
                <w:sz w:val="24"/>
                <w:szCs w:val="24"/>
              </w:rPr>
            </w:pPr>
          </w:p>
        </w:tc>
        <w:tc>
          <w:tcPr>
            <w:tcW w:w="4188" w:type="dxa"/>
          </w:tcPr>
          <w:p w14:paraId="2F4FFAF2" w14:textId="77777777" w:rsidR="001178B2" w:rsidRPr="00E07897" w:rsidRDefault="001178B2" w:rsidP="001178B2">
            <w:pPr>
              <w:rPr>
                <w:rFonts w:ascii="Calibri" w:hAnsi="Calibri" w:cs="Calibri"/>
                <w:sz w:val="24"/>
                <w:szCs w:val="24"/>
              </w:rPr>
            </w:pPr>
          </w:p>
        </w:tc>
      </w:tr>
      <w:tr w:rsidR="001178B2" w:rsidRPr="00E07897" w14:paraId="44931659" w14:textId="77777777" w:rsidTr="00101194">
        <w:tc>
          <w:tcPr>
            <w:tcW w:w="703" w:type="dxa"/>
          </w:tcPr>
          <w:p w14:paraId="56705631" w14:textId="58D88D68" w:rsidR="001178B2" w:rsidRPr="00E07897" w:rsidRDefault="001178B2" w:rsidP="001178B2">
            <w:pPr>
              <w:rPr>
                <w:rFonts w:ascii="Calibri" w:hAnsi="Calibri" w:cs="Calibri"/>
              </w:rPr>
            </w:pPr>
            <w:r w:rsidRPr="00E07897">
              <w:rPr>
                <w:rFonts w:ascii="Calibri" w:hAnsi="Calibri" w:cs="Calibri"/>
              </w:rPr>
              <w:t>2</w:t>
            </w:r>
            <w:r w:rsidR="00711AB1" w:rsidRPr="00E07897">
              <w:rPr>
                <w:rFonts w:ascii="Calibri" w:hAnsi="Calibri" w:cs="Calibri"/>
              </w:rPr>
              <w:t>9</w:t>
            </w:r>
            <w:r w:rsidRPr="00E07897">
              <w:rPr>
                <w:rFonts w:ascii="Calibri" w:hAnsi="Calibri" w:cs="Calibri"/>
              </w:rPr>
              <w:t>.</w:t>
            </w:r>
          </w:p>
        </w:tc>
        <w:tc>
          <w:tcPr>
            <w:tcW w:w="5174" w:type="dxa"/>
          </w:tcPr>
          <w:p w14:paraId="2EA772A3" w14:textId="30CB4B11" w:rsidR="001178B2" w:rsidRPr="00E07897" w:rsidRDefault="001178B2" w:rsidP="001178B2">
            <w:pPr>
              <w:rPr>
                <w:rFonts w:ascii="Calibri" w:hAnsi="Calibri" w:cs="Calibri"/>
                <w:color w:val="000000"/>
              </w:rPr>
            </w:pPr>
            <w:r w:rsidRPr="00E07897">
              <w:rPr>
                <w:rFonts w:ascii="Calibri" w:hAnsi="Calibri" w:cs="Calibri"/>
                <w:color w:val="000000"/>
              </w:rPr>
              <w:t xml:space="preserve">Het recht van de (betaal)instelling om bezwaar te maken tegen een beoogde </w:t>
            </w:r>
            <w:proofErr w:type="spellStart"/>
            <w:r w:rsidRPr="00E07897">
              <w:rPr>
                <w:rFonts w:ascii="Calibri" w:hAnsi="Calibri" w:cs="Calibri"/>
                <w:color w:val="000000"/>
              </w:rPr>
              <w:t>onderuitbesteding</w:t>
            </w:r>
            <w:proofErr w:type="spellEnd"/>
            <w:r w:rsidRPr="00E07897">
              <w:rPr>
                <w:rFonts w:ascii="Calibri" w:hAnsi="Calibri" w:cs="Calibri"/>
                <w:color w:val="000000"/>
              </w:rPr>
              <w:t xml:space="preserve">, of materiële wijzigingen daarin, of dat expliciete goedkeuring is vereist. </w:t>
            </w:r>
          </w:p>
        </w:tc>
        <w:tc>
          <w:tcPr>
            <w:tcW w:w="1445" w:type="dxa"/>
          </w:tcPr>
          <w:p w14:paraId="68E5B313" w14:textId="77777777" w:rsidR="001178B2" w:rsidRPr="00E07897" w:rsidRDefault="001178B2" w:rsidP="001178B2">
            <w:pPr>
              <w:rPr>
                <w:rFonts w:ascii="Calibri" w:hAnsi="Calibri" w:cs="Calibri"/>
              </w:rPr>
            </w:pPr>
          </w:p>
        </w:tc>
        <w:tc>
          <w:tcPr>
            <w:tcW w:w="1829" w:type="dxa"/>
          </w:tcPr>
          <w:p w14:paraId="4F13D444" w14:textId="77777777" w:rsidR="001178B2" w:rsidRPr="00E07897" w:rsidRDefault="001178B2" w:rsidP="001178B2">
            <w:pPr>
              <w:rPr>
                <w:rFonts w:ascii="Calibri" w:hAnsi="Calibri" w:cs="Calibri"/>
              </w:rPr>
            </w:pPr>
          </w:p>
        </w:tc>
        <w:tc>
          <w:tcPr>
            <w:tcW w:w="4188" w:type="dxa"/>
          </w:tcPr>
          <w:p w14:paraId="46C311EA" w14:textId="77777777" w:rsidR="001178B2" w:rsidRPr="00E07897" w:rsidRDefault="001178B2" w:rsidP="001178B2">
            <w:pPr>
              <w:rPr>
                <w:rFonts w:ascii="Calibri" w:hAnsi="Calibri" w:cs="Calibri"/>
              </w:rPr>
            </w:pPr>
          </w:p>
        </w:tc>
      </w:tr>
      <w:tr w:rsidR="007C52C0" w:rsidRPr="00E07897" w14:paraId="5B5420DA" w14:textId="77777777" w:rsidTr="00101194">
        <w:tc>
          <w:tcPr>
            <w:tcW w:w="703" w:type="dxa"/>
          </w:tcPr>
          <w:p w14:paraId="4C1E3C08" w14:textId="16CEA9BB" w:rsidR="001178B2" w:rsidRPr="00E07897" w:rsidRDefault="00711AB1" w:rsidP="001178B2">
            <w:pPr>
              <w:rPr>
                <w:rFonts w:ascii="Calibri" w:hAnsi="Calibri" w:cs="Calibri"/>
                <w:sz w:val="24"/>
                <w:szCs w:val="24"/>
              </w:rPr>
            </w:pPr>
            <w:r w:rsidRPr="00E07897">
              <w:rPr>
                <w:rFonts w:ascii="Calibri" w:hAnsi="Calibri" w:cs="Calibri"/>
                <w:sz w:val="24"/>
                <w:szCs w:val="24"/>
              </w:rPr>
              <w:t>30</w:t>
            </w:r>
            <w:r w:rsidR="001178B2" w:rsidRPr="00E07897">
              <w:rPr>
                <w:rFonts w:ascii="Calibri" w:hAnsi="Calibri" w:cs="Calibri"/>
                <w:sz w:val="24"/>
                <w:szCs w:val="24"/>
              </w:rPr>
              <w:t>.</w:t>
            </w:r>
          </w:p>
        </w:tc>
        <w:tc>
          <w:tcPr>
            <w:tcW w:w="5174" w:type="dxa"/>
          </w:tcPr>
          <w:p w14:paraId="3EF1EEED" w14:textId="1AA0FC6F" w:rsidR="001178B2" w:rsidRPr="00E07897" w:rsidRDefault="001178B2" w:rsidP="001178B2">
            <w:pPr>
              <w:rPr>
                <w:rFonts w:ascii="Calibri" w:eastAsia="Times New Roman" w:hAnsi="Calibri" w:cs="Calibri"/>
                <w:color w:val="000000"/>
                <w:sz w:val="24"/>
                <w:szCs w:val="24"/>
              </w:rPr>
            </w:pPr>
            <w:r w:rsidRPr="00E07897">
              <w:rPr>
                <w:rFonts w:ascii="Calibri" w:hAnsi="Calibri" w:cs="Calibri"/>
                <w:color w:val="000000"/>
                <w:sz w:val="24"/>
                <w:szCs w:val="24"/>
              </w:rPr>
              <w:t xml:space="preserve">Het recht om de overeenkomst in het geval van onnodige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te beëindigen, bijvoorbeeld wanneer door de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de risico's voor de (betaal)instelling materieel toenemen of als de dienstverlener tot </w:t>
            </w:r>
            <w:proofErr w:type="spellStart"/>
            <w:r w:rsidRPr="00E07897">
              <w:rPr>
                <w:rFonts w:ascii="Calibri" w:hAnsi="Calibri" w:cs="Calibri"/>
                <w:color w:val="000000"/>
                <w:sz w:val="24"/>
                <w:szCs w:val="24"/>
              </w:rPr>
              <w:t>onderuitbesteding</w:t>
            </w:r>
            <w:proofErr w:type="spellEnd"/>
            <w:r w:rsidRPr="00E07897">
              <w:rPr>
                <w:rFonts w:ascii="Calibri" w:hAnsi="Calibri" w:cs="Calibri"/>
                <w:color w:val="000000"/>
                <w:sz w:val="24"/>
                <w:szCs w:val="24"/>
              </w:rPr>
              <w:t xml:space="preserve"> overgaat zonder de (betaal)instelling daarvan in kennis te stellen. </w:t>
            </w:r>
          </w:p>
        </w:tc>
        <w:tc>
          <w:tcPr>
            <w:tcW w:w="1445" w:type="dxa"/>
          </w:tcPr>
          <w:p w14:paraId="6267C2C7" w14:textId="77777777" w:rsidR="001178B2" w:rsidRPr="00E07897" w:rsidRDefault="001178B2" w:rsidP="001178B2">
            <w:pPr>
              <w:rPr>
                <w:rFonts w:ascii="Calibri" w:hAnsi="Calibri" w:cs="Calibri"/>
                <w:sz w:val="24"/>
                <w:szCs w:val="24"/>
              </w:rPr>
            </w:pPr>
          </w:p>
        </w:tc>
        <w:tc>
          <w:tcPr>
            <w:tcW w:w="1829" w:type="dxa"/>
          </w:tcPr>
          <w:p w14:paraId="41A82D7A" w14:textId="77777777" w:rsidR="001178B2" w:rsidRPr="00E07897" w:rsidRDefault="001178B2" w:rsidP="001178B2">
            <w:pPr>
              <w:rPr>
                <w:rFonts w:ascii="Calibri" w:hAnsi="Calibri" w:cs="Calibri"/>
                <w:sz w:val="24"/>
                <w:szCs w:val="24"/>
              </w:rPr>
            </w:pPr>
          </w:p>
        </w:tc>
        <w:tc>
          <w:tcPr>
            <w:tcW w:w="4188" w:type="dxa"/>
          </w:tcPr>
          <w:p w14:paraId="6BE56B59" w14:textId="77777777" w:rsidR="001178B2" w:rsidRPr="00E07897" w:rsidRDefault="001178B2" w:rsidP="001178B2">
            <w:pPr>
              <w:rPr>
                <w:rFonts w:ascii="Calibri" w:hAnsi="Calibri" w:cs="Calibri"/>
                <w:sz w:val="24"/>
                <w:szCs w:val="24"/>
              </w:rPr>
            </w:pPr>
          </w:p>
        </w:tc>
      </w:tr>
      <w:tr w:rsidR="001178B2" w:rsidRPr="00E07897" w14:paraId="145FDB38" w14:textId="77777777" w:rsidTr="00101194">
        <w:tc>
          <w:tcPr>
            <w:tcW w:w="703" w:type="dxa"/>
          </w:tcPr>
          <w:p w14:paraId="5F9EB10C" w14:textId="390800FF" w:rsidR="001178B2" w:rsidRPr="00E07897" w:rsidRDefault="00711AB1" w:rsidP="001178B2">
            <w:pPr>
              <w:rPr>
                <w:rFonts w:ascii="Calibri" w:hAnsi="Calibri" w:cs="Calibri"/>
              </w:rPr>
            </w:pPr>
            <w:r w:rsidRPr="00E07897">
              <w:rPr>
                <w:rFonts w:ascii="Calibri" w:hAnsi="Calibri" w:cs="Calibri"/>
              </w:rPr>
              <w:t>31</w:t>
            </w:r>
            <w:r w:rsidR="001178B2" w:rsidRPr="00E07897">
              <w:rPr>
                <w:rFonts w:ascii="Calibri" w:hAnsi="Calibri" w:cs="Calibri"/>
              </w:rPr>
              <w:t>.</w:t>
            </w:r>
          </w:p>
        </w:tc>
        <w:tc>
          <w:tcPr>
            <w:tcW w:w="5174" w:type="dxa"/>
          </w:tcPr>
          <w:p w14:paraId="65FB05DB" w14:textId="62E2C1D5" w:rsidR="001178B2" w:rsidRPr="00E07897" w:rsidRDefault="001178B2" w:rsidP="001178B2">
            <w:pPr>
              <w:rPr>
                <w:rFonts w:ascii="Calibri" w:hAnsi="Calibri" w:cs="Calibri"/>
                <w:color w:val="000000"/>
              </w:rPr>
            </w:pPr>
            <w:r w:rsidRPr="00E07897">
              <w:rPr>
                <w:rFonts w:ascii="Calibri" w:hAnsi="Calibri" w:cs="Calibri"/>
                <w:color w:val="000000"/>
              </w:rPr>
              <w:t>De verplichting van de onderaannemer om aan alle toepasselijke wet- en regelgeving en contractuele verplichtingen te voldoen.</w:t>
            </w:r>
          </w:p>
        </w:tc>
        <w:tc>
          <w:tcPr>
            <w:tcW w:w="1445" w:type="dxa"/>
          </w:tcPr>
          <w:p w14:paraId="6A1C7CFF" w14:textId="77777777" w:rsidR="001178B2" w:rsidRPr="00E07897" w:rsidRDefault="001178B2" w:rsidP="001178B2">
            <w:pPr>
              <w:rPr>
                <w:rFonts w:ascii="Calibri" w:hAnsi="Calibri" w:cs="Calibri"/>
              </w:rPr>
            </w:pPr>
          </w:p>
        </w:tc>
        <w:tc>
          <w:tcPr>
            <w:tcW w:w="1829" w:type="dxa"/>
          </w:tcPr>
          <w:p w14:paraId="61F425B1" w14:textId="77777777" w:rsidR="001178B2" w:rsidRPr="00E07897" w:rsidRDefault="001178B2" w:rsidP="001178B2">
            <w:pPr>
              <w:rPr>
                <w:rFonts w:ascii="Calibri" w:hAnsi="Calibri" w:cs="Calibri"/>
              </w:rPr>
            </w:pPr>
          </w:p>
        </w:tc>
        <w:tc>
          <w:tcPr>
            <w:tcW w:w="4188" w:type="dxa"/>
          </w:tcPr>
          <w:p w14:paraId="6E56D615" w14:textId="77777777" w:rsidR="001178B2" w:rsidRPr="00E07897" w:rsidRDefault="001178B2" w:rsidP="001178B2">
            <w:pPr>
              <w:rPr>
                <w:rFonts w:ascii="Calibri" w:hAnsi="Calibri" w:cs="Calibri"/>
              </w:rPr>
            </w:pPr>
          </w:p>
        </w:tc>
      </w:tr>
      <w:tr w:rsidR="001178B2" w:rsidRPr="00E07897" w14:paraId="5C2C0726" w14:textId="77777777" w:rsidTr="00101194">
        <w:tc>
          <w:tcPr>
            <w:tcW w:w="703" w:type="dxa"/>
          </w:tcPr>
          <w:p w14:paraId="60889F54" w14:textId="69802DB9" w:rsidR="001178B2" w:rsidRPr="00E07897" w:rsidRDefault="00711AB1" w:rsidP="001178B2">
            <w:pPr>
              <w:rPr>
                <w:rFonts w:ascii="Calibri" w:hAnsi="Calibri" w:cs="Calibri"/>
              </w:rPr>
            </w:pPr>
            <w:r w:rsidRPr="00E07897">
              <w:rPr>
                <w:rFonts w:ascii="Calibri" w:hAnsi="Calibri" w:cs="Calibri"/>
              </w:rPr>
              <w:t>32</w:t>
            </w:r>
            <w:r w:rsidR="001178B2" w:rsidRPr="00E07897">
              <w:rPr>
                <w:rFonts w:ascii="Calibri" w:hAnsi="Calibri" w:cs="Calibri"/>
              </w:rPr>
              <w:t>.</w:t>
            </w:r>
          </w:p>
        </w:tc>
        <w:tc>
          <w:tcPr>
            <w:tcW w:w="5174" w:type="dxa"/>
          </w:tcPr>
          <w:p w14:paraId="7455433D" w14:textId="47A11E08" w:rsidR="001178B2" w:rsidRPr="00E07897" w:rsidRDefault="001178B2" w:rsidP="001178B2">
            <w:pPr>
              <w:rPr>
                <w:rFonts w:ascii="Calibri" w:hAnsi="Calibri" w:cs="Calibri"/>
                <w:color w:val="000000"/>
              </w:rPr>
            </w:pPr>
            <w:r w:rsidRPr="00E07897">
              <w:rPr>
                <w:rFonts w:ascii="Calibri" w:hAnsi="Calibri" w:cs="Calibri"/>
                <w:color w:val="000000"/>
              </w:rPr>
              <w:t xml:space="preserve">De toekenning van dezelfde contractuele toegangs- en auditrechten aan de (betaal)instelling en toezichthouder als aan de dienstverlener. </w:t>
            </w:r>
          </w:p>
        </w:tc>
        <w:tc>
          <w:tcPr>
            <w:tcW w:w="1445" w:type="dxa"/>
          </w:tcPr>
          <w:p w14:paraId="06016051" w14:textId="77777777" w:rsidR="001178B2" w:rsidRPr="00E07897" w:rsidRDefault="001178B2" w:rsidP="001178B2">
            <w:pPr>
              <w:rPr>
                <w:rFonts w:ascii="Calibri" w:hAnsi="Calibri" w:cs="Calibri"/>
              </w:rPr>
            </w:pPr>
          </w:p>
        </w:tc>
        <w:tc>
          <w:tcPr>
            <w:tcW w:w="1829" w:type="dxa"/>
          </w:tcPr>
          <w:p w14:paraId="7DD8BF4A" w14:textId="77777777" w:rsidR="001178B2" w:rsidRPr="00E07897" w:rsidRDefault="001178B2" w:rsidP="001178B2">
            <w:pPr>
              <w:rPr>
                <w:rFonts w:ascii="Calibri" w:hAnsi="Calibri" w:cs="Calibri"/>
              </w:rPr>
            </w:pPr>
          </w:p>
        </w:tc>
        <w:tc>
          <w:tcPr>
            <w:tcW w:w="4188" w:type="dxa"/>
          </w:tcPr>
          <w:p w14:paraId="7F2F7F1A" w14:textId="77777777" w:rsidR="001178B2" w:rsidRPr="00E07897" w:rsidRDefault="001178B2" w:rsidP="001178B2">
            <w:pPr>
              <w:rPr>
                <w:rFonts w:ascii="Calibri" w:hAnsi="Calibri" w:cs="Calibri"/>
              </w:rPr>
            </w:pPr>
          </w:p>
        </w:tc>
      </w:tr>
      <w:tr w:rsidR="001178B2" w:rsidRPr="00E07897" w14:paraId="4F50700B" w14:textId="77777777" w:rsidTr="00101194">
        <w:tc>
          <w:tcPr>
            <w:tcW w:w="703" w:type="dxa"/>
          </w:tcPr>
          <w:p w14:paraId="58771DC0" w14:textId="77E52C83" w:rsidR="001178B2" w:rsidRPr="00E07897" w:rsidRDefault="00711AB1" w:rsidP="001178B2">
            <w:pPr>
              <w:rPr>
                <w:rFonts w:ascii="Calibri" w:hAnsi="Calibri" w:cs="Calibri"/>
              </w:rPr>
            </w:pPr>
            <w:r w:rsidRPr="00E07897">
              <w:rPr>
                <w:rFonts w:ascii="Calibri" w:hAnsi="Calibri" w:cs="Calibri"/>
              </w:rPr>
              <w:t>33</w:t>
            </w:r>
            <w:r w:rsidR="001178B2" w:rsidRPr="00E07897">
              <w:rPr>
                <w:rFonts w:ascii="Calibri" w:hAnsi="Calibri" w:cs="Calibri"/>
              </w:rPr>
              <w:t>.</w:t>
            </w:r>
          </w:p>
        </w:tc>
        <w:tc>
          <w:tcPr>
            <w:tcW w:w="5174" w:type="dxa"/>
          </w:tcPr>
          <w:p w14:paraId="6CBD2AD6" w14:textId="3CB3C2D2" w:rsidR="001178B2" w:rsidRPr="00E07897" w:rsidRDefault="001178B2" w:rsidP="001178B2">
            <w:pPr>
              <w:rPr>
                <w:rFonts w:ascii="Calibri" w:hAnsi="Calibri" w:cs="Calibri"/>
                <w:color w:val="000000"/>
              </w:rPr>
            </w:pPr>
            <w:r w:rsidRPr="00E07897">
              <w:rPr>
                <w:rFonts w:ascii="Calibri" w:hAnsi="Calibri" w:cs="Calibri"/>
                <w:color w:val="000000"/>
              </w:rPr>
              <w:t xml:space="preserve">De verplichting van de dienstverlener om op passende wijze toezicht op de </w:t>
            </w:r>
            <w:proofErr w:type="spellStart"/>
            <w:r w:rsidRPr="00E07897">
              <w:rPr>
                <w:rFonts w:ascii="Calibri" w:hAnsi="Calibri" w:cs="Calibri"/>
                <w:color w:val="000000"/>
              </w:rPr>
              <w:t>onderdienstverleners</w:t>
            </w:r>
            <w:proofErr w:type="spellEnd"/>
            <w:r w:rsidRPr="00E07897">
              <w:rPr>
                <w:rFonts w:ascii="Calibri" w:hAnsi="Calibri" w:cs="Calibri"/>
                <w:color w:val="000000"/>
              </w:rPr>
              <w:t xml:space="preserve"> te houden, conform het beleid dat de (betaal)instelling heeft vastgesteld. </w:t>
            </w:r>
          </w:p>
        </w:tc>
        <w:tc>
          <w:tcPr>
            <w:tcW w:w="1445" w:type="dxa"/>
          </w:tcPr>
          <w:p w14:paraId="302136A6" w14:textId="77777777" w:rsidR="001178B2" w:rsidRPr="00E07897" w:rsidRDefault="001178B2" w:rsidP="001178B2">
            <w:pPr>
              <w:rPr>
                <w:rFonts w:ascii="Calibri" w:hAnsi="Calibri" w:cs="Calibri"/>
              </w:rPr>
            </w:pPr>
          </w:p>
        </w:tc>
        <w:tc>
          <w:tcPr>
            <w:tcW w:w="1829" w:type="dxa"/>
          </w:tcPr>
          <w:p w14:paraId="053A4F28" w14:textId="77777777" w:rsidR="001178B2" w:rsidRPr="00E07897" w:rsidRDefault="001178B2" w:rsidP="001178B2">
            <w:pPr>
              <w:rPr>
                <w:rFonts w:ascii="Calibri" w:hAnsi="Calibri" w:cs="Calibri"/>
              </w:rPr>
            </w:pPr>
          </w:p>
        </w:tc>
        <w:tc>
          <w:tcPr>
            <w:tcW w:w="4188" w:type="dxa"/>
          </w:tcPr>
          <w:p w14:paraId="28FB64A2" w14:textId="77777777" w:rsidR="001178B2" w:rsidRPr="00E07897" w:rsidRDefault="001178B2" w:rsidP="001178B2">
            <w:pPr>
              <w:rPr>
                <w:rFonts w:ascii="Calibri" w:hAnsi="Calibri" w:cs="Calibri"/>
              </w:rPr>
            </w:pPr>
          </w:p>
        </w:tc>
      </w:tr>
      <w:tr w:rsidR="003E61BA" w:rsidRPr="002804C6" w14:paraId="65743FF3" w14:textId="77777777" w:rsidTr="003E61BA">
        <w:tc>
          <w:tcPr>
            <w:tcW w:w="13339" w:type="dxa"/>
            <w:gridSpan w:val="5"/>
            <w:shd w:val="clear" w:color="auto" w:fill="7030A0"/>
          </w:tcPr>
          <w:p w14:paraId="5DDF956C" w14:textId="196968E4" w:rsidR="003E61BA" w:rsidRPr="002804C6" w:rsidRDefault="00AF20A1" w:rsidP="00B06CA7">
            <w:pPr>
              <w:rPr>
                <w:rFonts w:ascii="Calibri" w:hAnsi="Calibri" w:cs="Calibri"/>
                <w:b/>
                <w:bCs/>
                <w:color w:val="FFFFFF" w:themeColor="background1"/>
                <w:sz w:val="24"/>
                <w:szCs w:val="24"/>
              </w:rPr>
            </w:pPr>
            <w:r>
              <w:rPr>
                <w:rFonts w:ascii="Calibri" w:hAnsi="Calibri" w:cs="Calibri"/>
                <w:b/>
                <w:bCs/>
                <w:color w:val="FFFFFF" w:themeColor="background1"/>
                <w:sz w:val="24"/>
                <w:szCs w:val="24"/>
              </w:rPr>
              <w:lastRenderedPageBreak/>
              <w:t>DORA</w:t>
            </w:r>
            <w:r w:rsidR="003E61BA">
              <w:rPr>
                <w:rFonts w:ascii="Calibri" w:hAnsi="Calibri" w:cs="Calibri"/>
                <w:b/>
                <w:bCs/>
                <w:color w:val="FFFFFF" w:themeColor="background1"/>
                <w:sz w:val="24"/>
                <w:szCs w:val="24"/>
              </w:rPr>
              <w:t xml:space="preserve"> </w:t>
            </w:r>
            <w:r>
              <w:rPr>
                <w:rFonts w:ascii="Calibri" w:hAnsi="Calibri" w:cs="Calibri"/>
                <w:b/>
                <w:bCs/>
                <w:color w:val="FFFFFF" w:themeColor="background1"/>
                <w:sz w:val="24"/>
                <w:szCs w:val="24"/>
              </w:rPr>
              <w:t>–</w:t>
            </w:r>
            <w:r w:rsidR="003E61BA">
              <w:rPr>
                <w:rFonts w:ascii="Calibri" w:hAnsi="Calibri" w:cs="Calibri"/>
                <w:b/>
                <w:bCs/>
                <w:color w:val="FFFFFF" w:themeColor="background1"/>
                <w:sz w:val="24"/>
                <w:szCs w:val="24"/>
              </w:rPr>
              <w:t xml:space="preserve"> </w:t>
            </w:r>
            <w:r>
              <w:rPr>
                <w:rFonts w:ascii="Calibri" w:hAnsi="Calibri" w:cs="Calibri"/>
                <w:b/>
                <w:bCs/>
                <w:color w:val="FFFFFF" w:themeColor="background1"/>
                <w:sz w:val="24"/>
                <w:szCs w:val="24"/>
              </w:rPr>
              <w:t>Algemene verplichtingen voor ICT contracten met ICT</w:t>
            </w:r>
            <w:r w:rsidR="00616A3C">
              <w:rPr>
                <w:rFonts w:ascii="Calibri" w:hAnsi="Calibri" w:cs="Calibri"/>
                <w:b/>
                <w:bCs/>
                <w:color w:val="FFFFFF" w:themeColor="background1"/>
                <w:sz w:val="24"/>
                <w:szCs w:val="24"/>
              </w:rPr>
              <w:t xml:space="preserve"> dienstverleners </w:t>
            </w:r>
          </w:p>
        </w:tc>
      </w:tr>
      <w:tr w:rsidR="003E61BA" w:rsidRPr="0056464C" w14:paraId="11A5A98E" w14:textId="77777777" w:rsidTr="009341CE">
        <w:tc>
          <w:tcPr>
            <w:tcW w:w="13339" w:type="dxa"/>
            <w:gridSpan w:val="5"/>
          </w:tcPr>
          <w:p w14:paraId="0AA6E614" w14:textId="3B681C97" w:rsidR="003E61BA" w:rsidRDefault="003E61BA" w:rsidP="001178B2">
            <w:pPr>
              <w:rPr>
                <w:rFonts w:ascii="Calibri" w:hAnsi="Calibri" w:cs="Calibri"/>
              </w:rPr>
            </w:pPr>
            <w:r>
              <w:rPr>
                <w:rFonts w:ascii="Calibri" w:hAnsi="Calibri" w:cs="Calibri"/>
                <w:b/>
                <w:bCs/>
              </w:rPr>
              <w:t>N.B.</w:t>
            </w:r>
            <w:r w:rsidRPr="003E61BA">
              <w:rPr>
                <w:rFonts w:ascii="Calibri" w:hAnsi="Calibri" w:cs="Calibri"/>
              </w:rPr>
              <w:t xml:space="preserve">: </w:t>
            </w:r>
            <w:r>
              <w:rPr>
                <w:rFonts w:ascii="Calibri" w:hAnsi="Calibri" w:cs="Calibri"/>
              </w:rPr>
              <w:t xml:space="preserve">Deze verplichtingen zijn van toepassing op alle </w:t>
            </w:r>
            <w:r w:rsidR="009B4D74">
              <w:rPr>
                <w:rFonts w:ascii="Calibri" w:hAnsi="Calibri" w:cs="Calibri"/>
              </w:rPr>
              <w:t>overeenkomsten inzake het gebruik van ICT</w:t>
            </w:r>
            <w:r w:rsidR="00FB7276">
              <w:rPr>
                <w:rFonts w:ascii="Calibri" w:hAnsi="Calibri" w:cs="Calibri"/>
              </w:rPr>
              <w:t>-</w:t>
            </w:r>
            <w:r w:rsidR="009B4D74">
              <w:rPr>
                <w:rFonts w:ascii="Calibri" w:hAnsi="Calibri" w:cs="Calibri"/>
              </w:rPr>
              <w:t>diensten</w:t>
            </w:r>
            <w:r w:rsidR="00FB7276">
              <w:rPr>
                <w:rFonts w:ascii="Calibri" w:hAnsi="Calibri" w:cs="Calibri"/>
              </w:rPr>
              <w:t>, ongeacht de vraag of de overeenkomsten een uitbesteding zijn. ‘</w:t>
            </w:r>
            <w:r w:rsidR="00FB7276">
              <w:rPr>
                <w:rFonts w:ascii="Calibri" w:hAnsi="Calibri" w:cs="Calibri"/>
                <w:b/>
                <w:bCs/>
              </w:rPr>
              <w:t>ICT-diensten</w:t>
            </w:r>
            <w:r w:rsidR="00FB7276">
              <w:rPr>
                <w:rFonts w:ascii="Calibri" w:hAnsi="Calibri" w:cs="Calibri"/>
              </w:rPr>
              <w:t>’ is ruim gedefinieerd als:</w:t>
            </w:r>
          </w:p>
          <w:p w14:paraId="6CF86E20" w14:textId="2D3EF609" w:rsidR="0056464C" w:rsidRPr="0056464C" w:rsidRDefault="00CD6D03" w:rsidP="00105813">
            <w:pPr>
              <w:rPr>
                <w:rFonts w:ascii="Calibri" w:hAnsi="Calibri" w:cs="Calibri"/>
                <w:b/>
                <w:bCs/>
                <w:lang w:val="en-US"/>
              </w:rPr>
            </w:pPr>
            <w:r>
              <w:rPr>
                <w:rFonts w:ascii="Calibri" w:hAnsi="Calibri" w:cs="Calibri"/>
                <w:i/>
                <w:iCs/>
              </w:rPr>
              <w:t>“</w:t>
            </w:r>
            <w:r w:rsidRPr="00CD6D03">
              <w:rPr>
                <w:rFonts w:ascii="Calibri" w:hAnsi="Calibri" w:cs="Calibri"/>
                <w:i/>
                <w:iCs/>
              </w:rPr>
              <w:t xml:space="preserve">digitale en gegevensdiensten die doorlopend via ICT-systemen aan een of meer interne of externe gebruikers worden verleend, waaronder hardware als dienst en </w:t>
            </w:r>
            <w:proofErr w:type="spellStart"/>
            <w:r w:rsidRPr="00CD6D03">
              <w:rPr>
                <w:rFonts w:ascii="Calibri" w:hAnsi="Calibri" w:cs="Calibri"/>
                <w:i/>
                <w:iCs/>
              </w:rPr>
              <w:t>hardwarediensten</w:t>
            </w:r>
            <w:proofErr w:type="spellEnd"/>
            <w:r w:rsidRPr="00CD6D03">
              <w:rPr>
                <w:rFonts w:ascii="Calibri" w:hAnsi="Calibri" w:cs="Calibri"/>
                <w:i/>
                <w:iCs/>
              </w:rPr>
              <w:t xml:space="preserve">, met inbegrip van het verlenen van technische ondersteuning via software- of firmware-updates door de </w:t>
            </w:r>
            <w:proofErr w:type="spellStart"/>
            <w:r w:rsidRPr="00CD6D03">
              <w:rPr>
                <w:rFonts w:ascii="Calibri" w:hAnsi="Calibri" w:cs="Calibri"/>
                <w:i/>
                <w:iCs/>
              </w:rPr>
              <w:t>hardwareaanbieder</w:t>
            </w:r>
            <w:proofErr w:type="spellEnd"/>
            <w:r w:rsidRPr="00CD6D03">
              <w:rPr>
                <w:rFonts w:ascii="Calibri" w:hAnsi="Calibri" w:cs="Calibri"/>
                <w:i/>
                <w:iCs/>
              </w:rPr>
              <w:t>, met uitzondering van traditionele analoge telefoondiensten</w:t>
            </w:r>
            <w:r w:rsidR="00105813">
              <w:rPr>
                <w:rFonts w:ascii="Calibri" w:hAnsi="Calibri" w:cs="Calibri"/>
                <w:i/>
                <w:iCs/>
              </w:rPr>
              <w:t>”</w:t>
            </w:r>
          </w:p>
        </w:tc>
      </w:tr>
      <w:tr w:rsidR="003E61BA" w:rsidRPr="00040FF6" w14:paraId="33B217C1" w14:textId="77777777" w:rsidTr="00101194">
        <w:tc>
          <w:tcPr>
            <w:tcW w:w="703" w:type="dxa"/>
          </w:tcPr>
          <w:p w14:paraId="7682278E" w14:textId="613FA967" w:rsidR="003E61BA" w:rsidRPr="0056464C" w:rsidRDefault="00CA727F" w:rsidP="001178B2">
            <w:pPr>
              <w:rPr>
                <w:rFonts w:ascii="Calibri" w:hAnsi="Calibri" w:cs="Calibri"/>
                <w:lang w:val="en-US"/>
              </w:rPr>
            </w:pPr>
            <w:r>
              <w:rPr>
                <w:rFonts w:ascii="Calibri" w:hAnsi="Calibri" w:cs="Calibri"/>
                <w:lang w:val="en-US"/>
              </w:rPr>
              <w:t xml:space="preserve">34. </w:t>
            </w:r>
          </w:p>
        </w:tc>
        <w:tc>
          <w:tcPr>
            <w:tcW w:w="5174" w:type="dxa"/>
          </w:tcPr>
          <w:p w14:paraId="7A3458EF" w14:textId="4F3FAFB3" w:rsidR="003E61BA" w:rsidRPr="00040FF6" w:rsidRDefault="00040FF6" w:rsidP="001178B2">
            <w:pPr>
              <w:rPr>
                <w:rFonts w:ascii="Calibri" w:hAnsi="Calibri" w:cs="Calibri"/>
                <w:color w:val="000000"/>
              </w:rPr>
            </w:pPr>
            <w:r>
              <w:rPr>
                <w:rFonts w:ascii="Calibri" w:hAnsi="Calibri" w:cs="Calibri"/>
                <w:color w:val="000000"/>
              </w:rPr>
              <w:t>E</w:t>
            </w:r>
            <w:r w:rsidRPr="00040FF6">
              <w:rPr>
                <w:rFonts w:ascii="Calibri" w:hAnsi="Calibri" w:cs="Calibri"/>
                <w:color w:val="000000"/>
              </w:rPr>
              <w:t>en duidelijke en volledige beschrijving van alle door de derde aanbieder van ICT-diensten te leveren functies en ICT-diensten, met vermelding of het uitbesteden van een ICT-dienst die een kritieke of belangrijke functie ondersteunt, of van materiële onderdelen daarvan, is toegestaan en indien dit het geval is, welke voorwaarden op die uitbesteding van toepassing zijn</w:t>
            </w:r>
            <w:r>
              <w:rPr>
                <w:rFonts w:ascii="Calibri" w:hAnsi="Calibri" w:cs="Calibri"/>
                <w:color w:val="000000"/>
              </w:rPr>
              <w:t>.</w:t>
            </w:r>
          </w:p>
        </w:tc>
        <w:tc>
          <w:tcPr>
            <w:tcW w:w="1445" w:type="dxa"/>
          </w:tcPr>
          <w:p w14:paraId="4544CDD2" w14:textId="77777777" w:rsidR="003E61BA" w:rsidRPr="00040FF6" w:rsidRDefault="003E61BA" w:rsidP="001178B2">
            <w:pPr>
              <w:rPr>
                <w:rFonts w:ascii="Calibri" w:hAnsi="Calibri" w:cs="Calibri"/>
              </w:rPr>
            </w:pPr>
          </w:p>
        </w:tc>
        <w:tc>
          <w:tcPr>
            <w:tcW w:w="1829" w:type="dxa"/>
          </w:tcPr>
          <w:p w14:paraId="7B98DB02" w14:textId="77777777" w:rsidR="003E61BA" w:rsidRPr="00040FF6" w:rsidRDefault="003E61BA" w:rsidP="001178B2">
            <w:pPr>
              <w:rPr>
                <w:rFonts w:ascii="Calibri" w:hAnsi="Calibri" w:cs="Calibri"/>
              </w:rPr>
            </w:pPr>
          </w:p>
        </w:tc>
        <w:tc>
          <w:tcPr>
            <w:tcW w:w="4188" w:type="dxa"/>
          </w:tcPr>
          <w:p w14:paraId="3216E73F" w14:textId="77777777" w:rsidR="003E61BA" w:rsidRPr="00040FF6" w:rsidRDefault="003E61BA" w:rsidP="001178B2">
            <w:pPr>
              <w:rPr>
                <w:rFonts w:ascii="Calibri" w:hAnsi="Calibri" w:cs="Calibri"/>
              </w:rPr>
            </w:pPr>
          </w:p>
        </w:tc>
      </w:tr>
      <w:tr w:rsidR="003E61BA" w:rsidRPr="00040FF6" w14:paraId="67165659" w14:textId="77777777" w:rsidTr="00101194">
        <w:tc>
          <w:tcPr>
            <w:tcW w:w="703" w:type="dxa"/>
          </w:tcPr>
          <w:p w14:paraId="551A097F" w14:textId="3467FE8F" w:rsidR="003E61BA" w:rsidRPr="00040FF6" w:rsidRDefault="00040FF6" w:rsidP="001178B2">
            <w:pPr>
              <w:rPr>
                <w:rFonts w:ascii="Calibri" w:hAnsi="Calibri" w:cs="Calibri"/>
              </w:rPr>
            </w:pPr>
            <w:r>
              <w:rPr>
                <w:rFonts w:ascii="Calibri" w:hAnsi="Calibri" w:cs="Calibri"/>
              </w:rPr>
              <w:t>35.</w:t>
            </w:r>
          </w:p>
        </w:tc>
        <w:tc>
          <w:tcPr>
            <w:tcW w:w="5174" w:type="dxa"/>
          </w:tcPr>
          <w:p w14:paraId="62EB3450" w14:textId="60E80818" w:rsidR="003E61BA" w:rsidRPr="00040FF6" w:rsidRDefault="00573FC5" w:rsidP="001178B2">
            <w:pPr>
              <w:rPr>
                <w:rFonts w:ascii="Calibri" w:hAnsi="Calibri" w:cs="Calibri"/>
                <w:color w:val="000000"/>
              </w:rPr>
            </w:pPr>
            <w:r>
              <w:rPr>
                <w:rFonts w:ascii="Calibri" w:hAnsi="Calibri" w:cs="Calibri"/>
                <w:color w:val="000000"/>
              </w:rPr>
              <w:t>D</w:t>
            </w:r>
            <w:r w:rsidRPr="00573FC5">
              <w:rPr>
                <w:rFonts w:ascii="Calibri" w:hAnsi="Calibri" w:cs="Calibri"/>
                <w:color w:val="000000"/>
              </w:rPr>
              <w:t>e locaties, met name de regio’s of landen, waar de contractueel overeengekomen of uitbestede functies en ICT-diensten moeten worden geleverd en waar gegevens moeten worden verwerkt, met inbegrip van de opslaglocatie, en de verplichting voor de derde aanbieder van ICT-diensten om de financiële entiteit vooraf in kennis te stellen indien hij voornemens is van locatie te veranderen</w:t>
            </w:r>
            <w:r>
              <w:rPr>
                <w:rFonts w:ascii="Calibri" w:hAnsi="Calibri" w:cs="Calibri"/>
                <w:color w:val="000000"/>
              </w:rPr>
              <w:t>.</w:t>
            </w:r>
          </w:p>
        </w:tc>
        <w:tc>
          <w:tcPr>
            <w:tcW w:w="1445" w:type="dxa"/>
          </w:tcPr>
          <w:p w14:paraId="7442BF78" w14:textId="77777777" w:rsidR="003E61BA" w:rsidRPr="00040FF6" w:rsidRDefault="003E61BA" w:rsidP="001178B2">
            <w:pPr>
              <w:rPr>
                <w:rFonts w:ascii="Calibri" w:hAnsi="Calibri" w:cs="Calibri"/>
              </w:rPr>
            </w:pPr>
          </w:p>
        </w:tc>
        <w:tc>
          <w:tcPr>
            <w:tcW w:w="1829" w:type="dxa"/>
          </w:tcPr>
          <w:p w14:paraId="3FB859B4" w14:textId="77777777" w:rsidR="003E61BA" w:rsidRPr="00040FF6" w:rsidRDefault="003E61BA" w:rsidP="001178B2">
            <w:pPr>
              <w:rPr>
                <w:rFonts w:ascii="Calibri" w:hAnsi="Calibri" w:cs="Calibri"/>
              </w:rPr>
            </w:pPr>
          </w:p>
        </w:tc>
        <w:tc>
          <w:tcPr>
            <w:tcW w:w="4188" w:type="dxa"/>
          </w:tcPr>
          <w:p w14:paraId="1E5612A7" w14:textId="77777777" w:rsidR="003E61BA" w:rsidRPr="00040FF6" w:rsidRDefault="003E61BA" w:rsidP="001178B2">
            <w:pPr>
              <w:rPr>
                <w:rFonts w:ascii="Calibri" w:hAnsi="Calibri" w:cs="Calibri"/>
              </w:rPr>
            </w:pPr>
          </w:p>
        </w:tc>
      </w:tr>
      <w:tr w:rsidR="003E61BA" w:rsidRPr="00040FF6" w14:paraId="27E0229C" w14:textId="77777777" w:rsidTr="00101194">
        <w:tc>
          <w:tcPr>
            <w:tcW w:w="703" w:type="dxa"/>
          </w:tcPr>
          <w:p w14:paraId="7A8F8F48" w14:textId="0779A30C" w:rsidR="003E61BA" w:rsidRPr="00040FF6" w:rsidRDefault="00573FC5" w:rsidP="001178B2">
            <w:pPr>
              <w:rPr>
                <w:rFonts w:ascii="Calibri" w:hAnsi="Calibri" w:cs="Calibri"/>
              </w:rPr>
            </w:pPr>
            <w:r>
              <w:rPr>
                <w:rFonts w:ascii="Calibri" w:hAnsi="Calibri" w:cs="Calibri"/>
              </w:rPr>
              <w:t>36.</w:t>
            </w:r>
          </w:p>
        </w:tc>
        <w:tc>
          <w:tcPr>
            <w:tcW w:w="5174" w:type="dxa"/>
          </w:tcPr>
          <w:p w14:paraId="7078A3F5" w14:textId="3E76E21A" w:rsidR="003E61BA" w:rsidRPr="00040FF6" w:rsidRDefault="00573FC5" w:rsidP="001178B2">
            <w:pPr>
              <w:rPr>
                <w:rFonts w:ascii="Calibri" w:hAnsi="Calibri" w:cs="Calibri"/>
                <w:color w:val="000000"/>
              </w:rPr>
            </w:pPr>
            <w:r>
              <w:rPr>
                <w:rFonts w:ascii="Calibri" w:hAnsi="Calibri" w:cs="Calibri"/>
                <w:color w:val="000000"/>
              </w:rPr>
              <w:t>B</w:t>
            </w:r>
            <w:r w:rsidRPr="00573FC5">
              <w:rPr>
                <w:rFonts w:ascii="Calibri" w:hAnsi="Calibri" w:cs="Calibri"/>
                <w:color w:val="000000"/>
              </w:rPr>
              <w:t>epalingen inzake beschikbaarheid, authenticiteit, integriteit en vertrouwelijkheid met betrekking tot de bescherming van gegevens, met inbegrip van persoonsgegevens</w:t>
            </w:r>
            <w:r>
              <w:rPr>
                <w:rFonts w:ascii="Calibri" w:hAnsi="Calibri" w:cs="Calibri"/>
                <w:color w:val="000000"/>
              </w:rPr>
              <w:t>.</w:t>
            </w:r>
          </w:p>
        </w:tc>
        <w:tc>
          <w:tcPr>
            <w:tcW w:w="1445" w:type="dxa"/>
          </w:tcPr>
          <w:p w14:paraId="5F36CFEF" w14:textId="77777777" w:rsidR="003E61BA" w:rsidRPr="00040FF6" w:rsidRDefault="003E61BA" w:rsidP="001178B2">
            <w:pPr>
              <w:rPr>
                <w:rFonts w:ascii="Calibri" w:hAnsi="Calibri" w:cs="Calibri"/>
              </w:rPr>
            </w:pPr>
          </w:p>
        </w:tc>
        <w:tc>
          <w:tcPr>
            <w:tcW w:w="1829" w:type="dxa"/>
          </w:tcPr>
          <w:p w14:paraId="54D3ED3F" w14:textId="77777777" w:rsidR="003E61BA" w:rsidRPr="00040FF6" w:rsidRDefault="003E61BA" w:rsidP="001178B2">
            <w:pPr>
              <w:rPr>
                <w:rFonts w:ascii="Calibri" w:hAnsi="Calibri" w:cs="Calibri"/>
              </w:rPr>
            </w:pPr>
          </w:p>
        </w:tc>
        <w:tc>
          <w:tcPr>
            <w:tcW w:w="4188" w:type="dxa"/>
          </w:tcPr>
          <w:p w14:paraId="61417987" w14:textId="77777777" w:rsidR="003E61BA" w:rsidRPr="00040FF6" w:rsidRDefault="003E61BA" w:rsidP="001178B2">
            <w:pPr>
              <w:rPr>
                <w:rFonts w:ascii="Calibri" w:hAnsi="Calibri" w:cs="Calibri"/>
              </w:rPr>
            </w:pPr>
          </w:p>
        </w:tc>
      </w:tr>
      <w:tr w:rsidR="003E61BA" w:rsidRPr="00040FF6" w14:paraId="19DA9390" w14:textId="77777777" w:rsidTr="00101194">
        <w:tc>
          <w:tcPr>
            <w:tcW w:w="703" w:type="dxa"/>
          </w:tcPr>
          <w:p w14:paraId="58722611" w14:textId="7B5A2398" w:rsidR="003E61BA" w:rsidRPr="00040FF6" w:rsidRDefault="00573FC5" w:rsidP="001178B2">
            <w:pPr>
              <w:rPr>
                <w:rFonts w:ascii="Calibri" w:hAnsi="Calibri" w:cs="Calibri"/>
              </w:rPr>
            </w:pPr>
            <w:r>
              <w:rPr>
                <w:rFonts w:ascii="Calibri" w:hAnsi="Calibri" w:cs="Calibri"/>
              </w:rPr>
              <w:t>37.</w:t>
            </w:r>
          </w:p>
        </w:tc>
        <w:tc>
          <w:tcPr>
            <w:tcW w:w="5174" w:type="dxa"/>
          </w:tcPr>
          <w:p w14:paraId="2E2B43FA" w14:textId="63A50255" w:rsidR="003E61BA" w:rsidRPr="00040FF6" w:rsidRDefault="00BC538B" w:rsidP="001178B2">
            <w:pPr>
              <w:rPr>
                <w:rFonts w:ascii="Calibri" w:hAnsi="Calibri" w:cs="Calibri"/>
                <w:color w:val="000000"/>
              </w:rPr>
            </w:pPr>
            <w:r>
              <w:rPr>
                <w:rFonts w:ascii="Calibri" w:hAnsi="Calibri" w:cs="Calibri"/>
                <w:color w:val="000000"/>
              </w:rPr>
              <w:t>B</w:t>
            </w:r>
            <w:r w:rsidRPr="00BC538B">
              <w:rPr>
                <w:rFonts w:ascii="Calibri" w:hAnsi="Calibri" w:cs="Calibri"/>
                <w:color w:val="000000"/>
              </w:rPr>
              <w:t xml:space="preserve">epalingen inzake het waarborgen van de toegang, het herstel en de teruggave in een gemakkelijk toegankelijk formaat van door de financiële entiteit verwerkte persoonsgegevens en niet-persoonsgebonden gegevens in geval van insolventie, </w:t>
            </w:r>
            <w:r w:rsidRPr="00BC538B">
              <w:rPr>
                <w:rFonts w:ascii="Calibri" w:hAnsi="Calibri" w:cs="Calibri"/>
                <w:color w:val="000000"/>
              </w:rPr>
              <w:lastRenderedPageBreak/>
              <w:t>afwikkeling of stopzetting van de bedrijfsactiviteiten van de derde aanbieder van ICT-diensten, of in geval van beëindiging van de contractuele overeenkomsten</w:t>
            </w:r>
            <w:r>
              <w:rPr>
                <w:rFonts w:ascii="Calibri" w:hAnsi="Calibri" w:cs="Calibri"/>
                <w:color w:val="000000"/>
              </w:rPr>
              <w:t>.</w:t>
            </w:r>
          </w:p>
        </w:tc>
        <w:tc>
          <w:tcPr>
            <w:tcW w:w="1445" w:type="dxa"/>
          </w:tcPr>
          <w:p w14:paraId="4CDB9394" w14:textId="77777777" w:rsidR="003E61BA" w:rsidRPr="00040FF6" w:rsidRDefault="003E61BA" w:rsidP="001178B2">
            <w:pPr>
              <w:rPr>
                <w:rFonts w:ascii="Calibri" w:hAnsi="Calibri" w:cs="Calibri"/>
              </w:rPr>
            </w:pPr>
          </w:p>
        </w:tc>
        <w:tc>
          <w:tcPr>
            <w:tcW w:w="1829" w:type="dxa"/>
          </w:tcPr>
          <w:p w14:paraId="1EB972BA" w14:textId="77777777" w:rsidR="003E61BA" w:rsidRPr="00040FF6" w:rsidRDefault="003E61BA" w:rsidP="001178B2">
            <w:pPr>
              <w:rPr>
                <w:rFonts w:ascii="Calibri" w:hAnsi="Calibri" w:cs="Calibri"/>
              </w:rPr>
            </w:pPr>
          </w:p>
        </w:tc>
        <w:tc>
          <w:tcPr>
            <w:tcW w:w="4188" w:type="dxa"/>
          </w:tcPr>
          <w:p w14:paraId="4B731ADE" w14:textId="77777777" w:rsidR="003E61BA" w:rsidRPr="00040FF6" w:rsidRDefault="003E61BA" w:rsidP="001178B2">
            <w:pPr>
              <w:rPr>
                <w:rFonts w:ascii="Calibri" w:hAnsi="Calibri" w:cs="Calibri"/>
              </w:rPr>
            </w:pPr>
          </w:p>
        </w:tc>
      </w:tr>
      <w:tr w:rsidR="00573FC5" w:rsidRPr="00040FF6" w14:paraId="22FA4520" w14:textId="77777777" w:rsidTr="00101194">
        <w:tc>
          <w:tcPr>
            <w:tcW w:w="703" w:type="dxa"/>
          </w:tcPr>
          <w:p w14:paraId="0429D94D" w14:textId="6708211C" w:rsidR="00573FC5" w:rsidRPr="00040FF6" w:rsidRDefault="00BC538B" w:rsidP="001178B2">
            <w:pPr>
              <w:rPr>
                <w:rFonts w:ascii="Calibri" w:hAnsi="Calibri" w:cs="Calibri"/>
              </w:rPr>
            </w:pPr>
            <w:r>
              <w:rPr>
                <w:rFonts w:ascii="Calibri" w:hAnsi="Calibri" w:cs="Calibri"/>
              </w:rPr>
              <w:t xml:space="preserve">38. </w:t>
            </w:r>
          </w:p>
        </w:tc>
        <w:tc>
          <w:tcPr>
            <w:tcW w:w="5174" w:type="dxa"/>
          </w:tcPr>
          <w:p w14:paraId="5481FF44" w14:textId="5762C668" w:rsidR="00573FC5" w:rsidRPr="00040FF6" w:rsidRDefault="00A47474" w:rsidP="001178B2">
            <w:pPr>
              <w:rPr>
                <w:rFonts w:ascii="Calibri" w:hAnsi="Calibri" w:cs="Calibri"/>
                <w:color w:val="000000"/>
              </w:rPr>
            </w:pPr>
            <w:r>
              <w:rPr>
                <w:rFonts w:ascii="Calibri" w:hAnsi="Calibri" w:cs="Calibri"/>
                <w:color w:val="000000"/>
              </w:rPr>
              <w:t>B</w:t>
            </w:r>
            <w:r w:rsidRPr="00A47474">
              <w:rPr>
                <w:rFonts w:ascii="Calibri" w:hAnsi="Calibri" w:cs="Calibri"/>
                <w:color w:val="000000"/>
              </w:rPr>
              <w:t>eschrijvingen van het dienstenniveau, met inbegrip van actualiseringen en herzieningen daarvan</w:t>
            </w:r>
            <w:r>
              <w:rPr>
                <w:rFonts w:ascii="Calibri" w:hAnsi="Calibri" w:cs="Calibri"/>
                <w:color w:val="000000"/>
              </w:rPr>
              <w:t>.</w:t>
            </w:r>
          </w:p>
        </w:tc>
        <w:tc>
          <w:tcPr>
            <w:tcW w:w="1445" w:type="dxa"/>
          </w:tcPr>
          <w:p w14:paraId="1A2AB88F" w14:textId="77777777" w:rsidR="00573FC5" w:rsidRPr="00040FF6" w:rsidRDefault="00573FC5" w:rsidP="001178B2">
            <w:pPr>
              <w:rPr>
                <w:rFonts w:ascii="Calibri" w:hAnsi="Calibri" w:cs="Calibri"/>
              </w:rPr>
            </w:pPr>
          </w:p>
        </w:tc>
        <w:tc>
          <w:tcPr>
            <w:tcW w:w="1829" w:type="dxa"/>
          </w:tcPr>
          <w:p w14:paraId="73F70C27" w14:textId="77777777" w:rsidR="00573FC5" w:rsidRPr="00040FF6" w:rsidRDefault="00573FC5" w:rsidP="001178B2">
            <w:pPr>
              <w:rPr>
                <w:rFonts w:ascii="Calibri" w:hAnsi="Calibri" w:cs="Calibri"/>
              </w:rPr>
            </w:pPr>
          </w:p>
        </w:tc>
        <w:tc>
          <w:tcPr>
            <w:tcW w:w="4188" w:type="dxa"/>
          </w:tcPr>
          <w:p w14:paraId="679A3BF0" w14:textId="77777777" w:rsidR="00573FC5" w:rsidRPr="00040FF6" w:rsidRDefault="00573FC5" w:rsidP="001178B2">
            <w:pPr>
              <w:rPr>
                <w:rFonts w:ascii="Calibri" w:hAnsi="Calibri" w:cs="Calibri"/>
              </w:rPr>
            </w:pPr>
          </w:p>
        </w:tc>
      </w:tr>
      <w:tr w:rsidR="00573FC5" w:rsidRPr="00040FF6" w14:paraId="5D86CCFD" w14:textId="77777777" w:rsidTr="00101194">
        <w:tc>
          <w:tcPr>
            <w:tcW w:w="703" w:type="dxa"/>
          </w:tcPr>
          <w:p w14:paraId="76BB5F19" w14:textId="3B358457" w:rsidR="00573FC5" w:rsidRPr="00040FF6" w:rsidRDefault="00A47474" w:rsidP="001178B2">
            <w:pPr>
              <w:rPr>
                <w:rFonts w:ascii="Calibri" w:hAnsi="Calibri" w:cs="Calibri"/>
              </w:rPr>
            </w:pPr>
            <w:r>
              <w:rPr>
                <w:rFonts w:ascii="Calibri" w:hAnsi="Calibri" w:cs="Calibri"/>
              </w:rPr>
              <w:t>39.</w:t>
            </w:r>
          </w:p>
        </w:tc>
        <w:tc>
          <w:tcPr>
            <w:tcW w:w="5174" w:type="dxa"/>
          </w:tcPr>
          <w:p w14:paraId="0D3C2969" w14:textId="71C4768C" w:rsidR="00573FC5" w:rsidRPr="00040FF6" w:rsidRDefault="00A47474" w:rsidP="001178B2">
            <w:pPr>
              <w:rPr>
                <w:rFonts w:ascii="Calibri" w:hAnsi="Calibri" w:cs="Calibri"/>
                <w:color w:val="000000"/>
              </w:rPr>
            </w:pPr>
            <w:r>
              <w:rPr>
                <w:rFonts w:ascii="Calibri" w:hAnsi="Calibri" w:cs="Calibri"/>
                <w:color w:val="000000"/>
              </w:rPr>
              <w:t>D</w:t>
            </w:r>
            <w:r w:rsidRPr="00A47474">
              <w:rPr>
                <w:rFonts w:ascii="Calibri" w:hAnsi="Calibri" w:cs="Calibri"/>
                <w:color w:val="000000"/>
              </w:rPr>
              <w:t>e verplichting van de derde aanbieder van ICT-diensten om de financiële entiteit zonder extra kosten, of tegen een vooraf bepaalde kostprijs, bijstand te verlenen wanneer zich een incident voordoet dat verband houdt met de aan de financiële entiteit geleverde ICT-dienst</w:t>
            </w:r>
            <w:r>
              <w:rPr>
                <w:rFonts w:ascii="Calibri" w:hAnsi="Calibri" w:cs="Calibri"/>
                <w:color w:val="000000"/>
              </w:rPr>
              <w:t>.</w:t>
            </w:r>
          </w:p>
        </w:tc>
        <w:tc>
          <w:tcPr>
            <w:tcW w:w="1445" w:type="dxa"/>
          </w:tcPr>
          <w:p w14:paraId="580D6734" w14:textId="77777777" w:rsidR="00573FC5" w:rsidRPr="00040FF6" w:rsidRDefault="00573FC5" w:rsidP="001178B2">
            <w:pPr>
              <w:rPr>
                <w:rFonts w:ascii="Calibri" w:hAnsi="Calibri" w:cs="Calibri"/>
              </w:rPr>
            </w:pPr>
          </w:p>
        </w:tc>
        <w:tc>
          <w:tcPr>
            <w:tcW w:w="1829" w:type="dxa"/>
          </w:tcPr>
          <w:p w14:paraId="153D095D" w14:textId="77777777" w:rsidR="00573FC5" w:rsidRPr="00040FF6" w:rsidRDefault="00573FC5" w:rsidP="001178B2">
            <w:pPr>
              <w:rPr>
                <w:rFonts w:ascii="Calibri" w:hAnsi="Calibri" w:cs="Calibri"/>
              </w:rPr>
            </w:pPr>
          </w:p>
        </w:tc>
        <w:tc>
          <w:tcPr>
            <w:tcW w:w="4188" w:type="dxa"/>
          </w:tcPr>
          <w:p w14:paraId="619CF599" w14:textId="77777777" w:rsidR="00573FC5" w:rsidRPr="00040FF6" w:rsidRDefault="00573FC5" w:rsidP="001178B2">
            <w:pPr>
              <w:rPr>
                <w:rFonts w:ascii="Calibri" w:hAnsi="Calibri" w:cs="Calibri"/>
              </w:rPr>
            </w:pPr>
          </w:p>
        </w:tc>
      </w:tr>
      <w:tr w:rsidR="00573FC5" w:rsidRPr="00040FF6" w14:paraId="023361C6" w14:textId="77777777" w:rsidTr="00101194">
        <w:tc>
          <w:tcPr>
            <w:tcW w:w="703" w:type="dxa"/>
          </w:tcPr>
          <w:p w14:paraId="54E22FB7" w14:textId="6985793F" w:rsidR="00573FC5" w:rsidRPr="00040FF6" w:rsidRDefault="00A47474" w:rsidP="001178B2">
            <w:pPr>
              <w:rPr>
                <w:rFonts w:ascii="Calibri" w:hAnsi="Calibri" w:cs="Calibri"/>
              </w:rPr>
            </w:pPr>
            <w:r>
              <w:rPr>
                <w:rFonts w:ascii="Calibri" w:hAnsi="Calibri" w:cs="Calibri"/>
              </w:rPr>
              <w:t xml:space="preserve">40. </w:t>
            </w:r>
          </w:p>
        </w:tc>
        <w:tc>
          <w:tcPr>
            <w:tcW w:w="5174" w:type="dxa"/>
          </w:tcPr>
          <w:p w14:paraId="044D62B1" w14:textId="7FC4DA5E" w:rsidR="00573FC5" w:rsidRPr="00040FF6" w:rsidRDefault="00491C7C" w:rsidP="00491C7C">
            <w:pPr>
              <w:rPr>
                <w:rFonts w:ascii="Calibri" w:hAnsi="Calibri" w:cs="Calibri"/>
                <w:color w:val="000000"/>
              </w:rPr>
            </w:pPr>
            <w:r>
              <w:rPr>
                <w:rFonts w:ascii="Calibri" w:hAnsi="Calibri" w:cs="Calibri"/>
                <w:color w:val="000000"/>
              </w:rPr>
              <w:t>D</w:t>
            </w:r>
            <w:r w:rsidRPr="00491C7C">
              <w:rPr>
                <w:rFonts w:ascii="Calibri" w:hAnsi="Calibri" w:cs="Calibri"/>
                <w:color w:val="000000"/>
              </w:rPr>
              <w:t>e verplichting van de derde aanbieder van ICT-diensten om volledige medewerking te verlenen aan de bevoegde autoriteiten en de afwikkelingsautoriteiten van de financiële entiteit, met inbegrip van de door hen aangestelde personen</w:t>
            </w:r>
            <w:r>
              <w:rPr>
                <w:rFonts w:ascii="Calibri" w:hAnsi="Calibri" w:cs="Calibri"/>
                <w:color w:val="000000"/>
              </w:rPr>
              <w:t>.</w:t>
            </w:r>
          </w:p>
        </w:tc>
        <w:tc>
          <w:tcPr>
            <w:tcW w:w="1445" w:type="dxa"/>
          </w:tcPr>
          <w:p w14:paraId="27CFC04C" w14:textId="77777777" w:rsidR="00573FC5" w:rsidRPr="00040FF6" w:rsidRDefault="00573FC5" w:rsidP="001178B2">
            <w:pPr>
              <w:rPr>
                <w:rFonts w:ascii="Calibri" w:hAnsi="Calibri" w:cs="Calibri"/>
              </w:rPr>
            </w:pPr>
          </w:p>
        </w:tc>
        <w:tc>
          <w:tcPr>
            <w:tcW w:w="1829" w:type="dxa"/>
          </w:tcPr>
          <w:p w14:paraId="6810EC96" w14:textId="77777777" w:rsidR="00573FC5" w:rsidRPr="00040FF6" w:rsidRDefault="00573FC5" w:rsidP="001178B2">
            <w:pPr>
              <w:rPr>
                <w:rFonts w:ascii="Calibri" w:hAnsi="Calibri" w:cs="Calibri"/>
              </w:rPr>
            </w:pPr>
          </w:p>
        </w:tc>
        <w:tc>
          <w:tcPr>
            <w:tcW w:w="4188" w:type="dxa"/>
          </w:tcPr>
          <w:p w14:paraId="6C51338C" w14:textId="77777777" w:rsidR="00573FC5" w:rsidRPr="00040FF6" w:rsidRDefault="00573FC5" w:rsidP="001178B2">
            <w:pPr>
              <w:rPr>
                <w:rFonts w:ascii="Calibri" w:hAnsi="Calibri" w:cs="Calibri"/>
              </w:rPr>
            </w:pPr>
          </w:p>
        </w:tc>
      </w:tr>
      <w:tr w:rsidR="00573FC5" w:rsidRPr="00040FF6" w14:paraId="1064F587" w14:textId="77777777" w:rsidTr="00101194">
        <w:tc>
          <w:tcPr>
            <w:tcW w:w="703" w:type="dxa"/>
          </w:tcPr>
          <w:p w14:paraId="51A875C0" w14:textId="79CBCF2C" w:rsidR="00573FC5" w:rsidRPr="00040FF6" w:rsidRDefault="00491C7C" w:rsidP="001178B2">
            <w:pPr>
              <w:rPr>
                <w:rFonts w:ascii="Calibri" w:hAnsi="Calibri" w:cs="Calibri"/>
              </w:rPr>
            </w:pPr>
            <w:r>
              <w:rPr>
                <w:rFonts w:ascii="Calibri" w:hAnsi="Calibri" w:cs="Calibri"/>
              </w:rPr>
              <w:t>41.</w:t>
            </w:r>
          </w:p>
        </w:tc>
        <w:tc>
          <w:tcPr>
            <w:tcW w:w="5174" w:type="dxa"/>
          </w:tcPr>
          <w:p w14:paraId="46BA3438" w14:textId="2E8D48E7" w:rsidR="00573FC5" w:rsidRPr="00040FF6" w:rsidRDefault="00D53D4C" w:rsidP="001178B2">
            <w:pPr>
              <w:rPr>
                <w:rFonts w:ascii="Calibri" w:hAnsi="Calibri" w:cs="Calibri"/>
                <w:color w:val="000000"/>
              </w:rPr>
            </w:pPr>
            <w:r>
              <w:rPr>
                <w:rFonts w:ascii="Calibri" w:hAnsi="Calibri" w:cs="Calibri"/>
                <w:color w:val="000000"/>
              </w:rPr>
              <w:t>B</w:t>
            </w:r>
            <w:r w:rsidRPr="00D53D4C">
              <w:rPr>
                <w:rFonts w:ascii="Calibri" w:hAnsi="Calibri" w:cs="Calibri"/>
                <w:color w:val="000000"/>
              </w:rPr>
              <w:t>eëindigingsrechten en de bijbehorende minimumopzegtermijnen voor de beëindiging van de contractuele overeenkomsten, in overeenstemming met de verwachtingen van de bevoegde autoriteiten en de afwikkelingsautoriteiten</w:t>
            </w:r>
            <w:r>
              <w:rPr>
                <w:rFonts w:ascii="Calibri" w:hAnsi="Calibri" w:cs="Calibri"/>
                <w:color w:val="000000"/>
              </w:rPr>
              <w:t>.</w:t>
            </w:r>
          </w:p>
        </w:tc>
        <w:tc>
          <w:tcPr>
            <w:tcW w:w="1445" w:type="dxa"/>
          </w:tcPr>
          <w:p w14:paraId="707230A4" w14:textId="77777777" w:rsidR="00573FC5" w:rsidRPr="00040FF6" w:rsidRDefault="00573FC5" w:rsidP="001178B2">
            <w:pPr>
              <w:rPr>
                <w:rFonts w:ascii="Calibri" w:hAnsi="Calibri" w:cs="Calibri"/>
              </w:rPr>
            </w:pPr>
          </w:p>
        </w:tc>
        <w:tc>
          <w:tcPr>
            <w:tcW w:w="1829" w:type="dxa"/>
          </w:tcPr>
          <w:p w14:paraId="67C0FDC9" w14:textId="77777777" w:rsidR="00573FC5" w:rsidRPr="00040FF6" w:rsidRDefault="00573FC5" w:rsidP="001178B2">
            <w:pPr>
              <w:rPr>
                <w:rFonts w:ascii="Calibri" w:hAnsi="Calibri" w:cs="Calibri"/>
              </w:rPr>
            </w:pPr>
          </w:p>
        </w:tc>
        <w:tc>
          <w:tcPr>
            <w:tcW w:w="4188" w:type="dxa"/>
          </w:tcPr>
          <w:p w14:paraId="71D4EBBF" w14:textId="77777777" w:rsidR="00573FC5" w:rsidRPr="00040FF6" w:rsidRDefault="00573FC5" w:rsidP="001178B2">
            <w:pPr>
              <w:rPr>
                <w:rFonts w:ascii="Calibri" w:hAnsi="Calibri" w:cs="Calibri"/>
              </w:rPr>
            </w:pPr>
          </w:p>
        </w:tc>
      </w:tr>
      <w:tr w:rsidR="00573FC5" w:rsidRPr="00040FF6" w14:paraId="32FC1589" w14:textId="77777777" w:rsidTr="00101194">
        <w:tc>
          <w:tcPr>
            <w:tcW w:w="703" w:type="dxa"/>
          </w:tcPr>
          <w:p w14:paraId="50FB481D" w14:textId="247DEB00" w:rsidR="00573FC5" w:rsidRPr="00040FF6" w:rsidRDefault="004F3401" w:rsidP="001178B2">
            <w:pPr>
              <w:rPr>
                <w:rFonts w:ascii="Calibri" w:hAnsi="Calibri" w:cs="Calibri"/>
              </w:rPr>
            </w:pPr>
            <w:r>
              <w:rPr>
                <w:rFonts w:ascii="Calibri" w:hAnsi="Calibri" w:cs="Calibri"/>
              </w:rPr>
              <w:t>42.</w:t>
            </w:r>
          </w:p>
        </w:tc>
        <w:tc>
          <w:tcPr>
            <w:tcW w:w="5174" w:type="dxa"/>
          </w:tcPr>
          <w:p w14:paraId="530A6D8E" w14:textId="1919FCC3" w:rsidR="00573FC5" w:rsidRPr="00040FF6" w:rsidRDefault="00EC3745" w:rsidP="00EC3745">
            <w:pPr>
              <w:rPr>
                <w:rFonts w:ascii="Calibri" w:hAnsi="Calibri" w:cs="Calibri"/>
                <w:color w:val="000000"/>
              </w:rPr>
            </w:pPr>
            <w:r>
              <w:rPr>
                <w:rFonts w:ascii="Calibri" w:hAnsi="Calibri" w:cs="Calibri"/>
                <w:color w:val="000000"/>
              </w:rPr>
              <w:t>D</w:t>
            </w:r>
            <w:r w:rsidRPr="00EC3745">
              <w:rPr>
                <w:rFonts w:ascii="Calibri" w:hAnsi="Calibri" w:cs="Calibri"/>
                <w:color w:val="000000"/>
              </w:rPr>
              <w:t>e voorwaarden voor deelname van derde aanbieders van ICT-diensten aan bewustmakingsprogramma’s op het gebied van ICT-beveiliging en opleidingen inzake digitale operationele weerbaarheid van de financiële entiteiten, overeenkomstig artikel 13 lid 6</w:t>
            </w:r>
            <w:r>
              <w:rPr>
                <w:rFonts w:ascii="Calibri" w:hAnsi="Calibri" w:cs="Calibri"/>
                <w:color w:val="000000"/>
              </w:rPr>
              <w:t xml:space="preserve"> DORA.</w:t>
            </w:r>
          </w:p>
        </w:tc>
        <w:tc>
          <w:tcPr>
            <w:tcW w:w="1445" w:type="dxa"/>
          </w:tcPr>
          <w:p w14:paraId="5219C570" w14:textId="77777777" w:rsidR="00573FC5" w:rsidRPr="00040FF6" w:rsidRDefault="00573FC5" w:rsidP="001178B2">
            <w:pPr>
              <w:rPr>
                <w:rFonts w:ascii="Calibri" w:hAnsi="Calibri" w:cs="Calibri"/>
              </w:rPr>
            </w:pPr>
          </w:p>
        </w:tc>
        <w:tc>
          <w:tcPr>
            <w:tcW w:w="1829" w:type="dxa"/>
          </w:tcPr>
          <w:p w14:paraId="41B84642" w14:textId="77777777" w:rsidR="00573FC5" w:rsidRPr="00040FF6" w:rsidRDefault="00573FC5" w:rsidP="001178B2">
            <w:pPr>
              <w:rPr>
                <w:rFonts w:ascii="Calibri" w:hAnsi="Calibri" w:cs="Calibri"/>
              </w:rPr>
            </w:pPr>
          </w:p>
        </w:tc>
        <w:tc>
          <w:tcPr>
            <w:tcW w:w="4188" w:type="dxa"/>
          </w:tcPr>
          <w:p w14:paraId="556C3362" w14:textId="77777777" w:rsidR="00573FC5" w:rsidRPr="00040FF6" w:rsidRDefault="00573FC5" w:rsidP="001178B2">
            <w:pPr>
              <w:rPr>
                <w:rFonts w:ascii="Calibri" w:hAnsi="Calibri" w:cs="Calibri"/>
              </w:rPr>
            </w:pPr>
          </w:p>
        </w:tc>
      </w:tr>
      <w:tr w:rsidR="00D53D4C" w:rsidRPr="00040FF6" w14:paraId="77375DC5" w14:textId="77777777" w:rsidTr="00101194">
        <w:tc>
          <w:tcPr>
            <w:tcW w:w="703" w:type="dxa"/>
          </w:tcPr>
          <w:p w14:paraId="3F788B9D" w14:textId="78E2760D" w:rsidR="00D53D4C" w:rsidRPr="00040FF6" w:rsidRDefault="00EC3745" w:rsidP="001178B2">
            <w:pPr>
              <w:rPr>
                <w:rFonts w:ascii="Calibri" w:hAnsi="Calibri" w:cs="Calibri"/>
              </w:rPr>
            </w:pPr>
            <w:r>
              <w:rPr>
                <w:rFonts w:ascii="Calibri" w:hAnsi="Calibri" w:cs="Calibri"/>
              </w:rPr>
              <w:t xml:space="preserve">43. </w:t>
            </w:r>
          </w:p>
        </w:tc>
        <w:tc>
          <w:tcPr>
            <w:tcW w:w="5174" w:type="dxa"/>
          </w:tcPr>
          <w:p w14:paraId="0E90E93E" w14:textId="3043574C" w:rsidR="00D53D4C" w:rsidRPr="00040FF6" w:rsidRDefault="000440DE" w:rsidP="001178B2">
            <w:pPr>
              <w:rPr>
                <w:rFonts w:ascii="Calibri" w:hAnsi="Calibri" w:cs="Calibri"/>
                <w:color w:val="000000"/>
              </w:rPr>
            </w:pPr>
            <w:r>
              <w:rPr>
                <w:rFonts w:ascii="Calibri" w:hAnsi="Calibri" w:cs="Calibri"/>
                <w:color w:val="000000"/>
              </w:rPr>
              <w:t xml:space="preserve">Het recht de overeenkomst te beëindigen in </w:t>
            </w:r>
            <w:r w:rsidR="00220EA9">
              <w:rPr>
                <w:rFonts w:ascii="Calibri" w:hAnsi="Calibri" w:cs="Calibri"/>
                <w:color w:val="000000"/>
              </w:rPr>
              <w:t>elk van de volgende omstandigheden</w:t>
            </w:r>
            <w:r w:rsidR="00BD4DF5">
              <w:rPr>
                <w:rFonts w:ascii="Calibri" w:hAnsi="Calibri" w:cs="Calibri"/>
                <w:color w:val="000000"/>
              </w:rPr>
              <w:t>:</w:t>
            </w:r>
          </w:p>
        </w:tc>
        <w:tc>
          <w:tcPr>
            <w:tcW w:w="1445" w:type="dxa"/>
          </w:tcPr>
          <w:p w14:paraId="6850B5E1" w14:textId="77777777" w:rsidR="00D53D4C" w:rsidRPr="00040FF6" w:rsidRDefault="00D53D4C" w:rsidP="001178B2">
            <w:pPr>
              <w:rPr>
                <w:rFonts w:ascii="Calibri" w:hAnsi="Calibri" w:cs="Calibri"/>
              </w:rPr>
            </w:pPr>
          </w:p>
        </w:tc>
        <w:tc>
          <w:tcPr>
            <w:tcW w:w="1829" w:type="dxa"/>
          </w:tcPr>
          <w:p w14:paraId="7B5E6814" w14:textId="77777777" w:rsidR="00D53D4C" w:rsidRPr="00040FF6" w:rsidRDefault="00D53D4C" w:rsidP="001178B2">
            <w:pPr>
              <w:rPr>
                <w:rFonts w:ascii="Calibri" w:hAnsi="Calibri" w:cs="Calibri"/>
              </w:rPr>
            </w:pPr>
          </w:p>
        </w:tc>
        <w:tc>
          <w:tcPr>
            <w:tcW w:w="4188" w:type="dxa"/>
          </w:tcPr>
          <w:p w14:paraId="6FCBC451" w14:textId="77777777" w:rsidR="00D53D4C" w:rsidRPr="00040FF6" w:rsidRDefault="00D53D4C" w:rsidP="001178B2">
            <w:pPr>
              <w:rPr>
                <w:rFonts w:ascii="Calibri" w:hAnsi="Calibri" w:cs="Calibri"/>
              </w:rPr>
            </w:pPr>
          </w:p>
        </w:tc>
      </w:tr>
      <w:tr w:rsidR="00D53D4C" w:rsidRPr="00040FF6" w14:paraId="7E7B1230" w14:textId="77777777" w:rsidTr="00101194">
        <w:tc>
          <w:tcPr>
            <w:tcW w:w="703" w:type="dxa"/>
          </w:tcPr>
          <w:p w14:paraId="55BF0DE8" w14:textId="5807A7C8" w:rsidR="00D53D4C" w:rsidRPr="00040FF6" w:rsidRDefault="00BD4DF5" w:rsidP="001178B2">
            <w:pPr>
              <w:rPr>
                <w:rFonts w:ascii="Calibri" w:hAnsi="Calibri" w:cs="Calibri"/>
              </w:rPr>
            </w:pPr>
            <w:r>
              <w:rPr>
                <w:rFonts w:ascii="Calibri" w:hAnsi="Calibri" w:cs="Calibri"/>
              </w:rPr>
              <w:t>43a.</w:t>
            </w:r>
          </w:p>
        </w:tc>
        <w:tc>
          <w:tcPr>
            <w:tcW w:w="5174" w:type="dxa"/>
          </w:tcPr>
          <w:p w14:paraId="1D85735F" w14:textId="12FCFA7D" w:rsidR="00D53D4C" w:rsidRPr="00040FF6" w:rsidRDefault="00BD4DF5" w:rsidP="001178B2">
            <w:pPr>
              <w:rPr>
                <w:rFonts w:ascii="Calibri" w:hAnsi="Calibri" w:cs="Calibri"/>
                <w:color w:val="000000"/>
              </w:rPr>
            </w:pPr>
            <w:r w:rsidRPr="00BD4DF5">
              <w:rPr>
                <w:rFonts w:ascii="Calibri" w:hAnsi="Calibri" w:cs="Calibri"/>
                <w:color w:val="000000"/>
              </w:rPr>
              <w:t>bij ernstige overtreding van de toepasselijke wetten, voorschriften of contractuele voorwaarden door de derde aanbieder van ICT-diensten</w:t>
            </w:r>
            <w:r w:rsidR="0014770C">
              <w:rPr>
                <w:rFonts w:ascii="Calibri" w:hAnsi="Calibri" w:cs="Calibri"/>
                <w:color w:val="000000"/>
              </w:rPr>
              <w:t>;</w:t>
            </w:r>
          </w:p>
        </w:tc>
        <w:tc>
          <w:tcPr>
            <w:tcW w:w="1445" w:type="dxa"/>
          </w:tcPr>
          <w:p w14:paraId="23A7C12E" w14:textId="77777777" w:rsidR="00D53D4C" w:rsidRPr="00040FF6" w:rsidRDefault="00D53D4C" w:rsidP="001178B2">
            <w:pPr>
              <w:rPr>
                <w:rFonts w:ascii="Calibri" w:hAnsi="Calibri" w:cs="Calibri"/>
              </w:rPr>
            </w:pPr>
          </w:p>
        </w:tc>
        <w:tc>
          <w:tcPr>
            <w:tcW w:w="1829" w:type="dxa"/>
          </w:tcPr>
          <w:p w14:paraId="75AAC7FE" w14:textId="77777777" w:rsidR="00D53D4C" w:rsidRPr="00040FF6" w:rsidRDefault="00D53D4C" w:rsidP="001178B2">
            <w:pPr>
              <w:rPr>
                <w:rFonts w:ascii="Calibri" w:hAnsi="Calibri" w:cs="Calibri"/>
              </w:rPr>
            </w:pPr>
          </w:p>
        </w:tc>
        <w:tc>
          <w:tcPr>
            <w:tcW w:w="4188" w:type="dxa"/>
          </w:tcPr>
          <w:p w14:paraId="33C743A6" w14:textId="77777777" w:rsidR="00D53D4C" w:rsidRPr="00040FF6" w:rsidRDefault="00D53D4C" w:rsidP="001178B2">
            <w:pPr>
              <w:rPr>
                <w:rFonts w:ascii="Calibri" w:hAnsi="Calibri" w:cs="Calibri"/>
              </w:rPr>
            </w:pPr>
          </w:p>
        </w:tc>
      </w:tr>
      <w:tr w:rsidR="00D53D4C" w:rsidRPr="00040FF6" w14:paraId="39CAB234" w14:textId="77777777" w:rsidTr="00101194">
        <w:tc>
          <w:tcPr>
            <w:tcW w:w="703" w:type="dxa"/>
          </w:tcPr>
          <w:p w14:paraId="232426F8" w14:textId="61A0ED5F" w:rsidR="00D53D4C" w:rsidRPr="00040FF6" w:rsidRDefault="00BD4DF5" w:rsidP="001178B2">
            <w:pPr>
              <w:rPr>
                <w:rFonts w:ascii="Calibri" w:hAnsi="Calibri" w:cs="Calibri"/>
              </w:rPr>
            </w:pPr>
            <w:r>
              <w:rPr>
                <w:rFonts w:ascii="Calibri" w:hAnsi="Calibri" w:cs="Calibri"/>
              </w:rPr>
              <w:lastRenderedPageBreak/>
              <w:t xml:space="preserve">43b. </w:t>
            </w:r>
          </w:p>
        </w:tc>
        <w:tc>
          <w:tcPr>
            <w:tcW w:w="5174" w:type="dxa"/>
          </w:tcPr>
          <w:p w14:paraId="3CF7BF20" w14:textId="55873A76" w:rsidR="00D53D4C" w:rsidRPr="00040FF6" w:rsidRDefault="0014770C" w:rsidP="001178B2">
            <w:pPr>
              <w:rPr>
                <w:rFonts w:ascii="Calibri" w:hAnsi="Calibri" w:cs="Calibri"/>
                <w:color w:val="000000"/>
              </w:rPr>
            </w:pPr>
            <w:r w:rsidRPr="0014770C">
              <w:rPr>
                <w:rFonts w:ascii="Calibri" w:hAnsi="Calibri" w:cs="Calibri"/>
                <w:color w:val="000000"/>
              </w:rPr>
              <w:t>in omstandigheden die in de loop van de monitoring van het ICT-risico van derde aanbieders worden vastgesteld, waarvan wordt aangenomen dat deze wijzigingen kunnen brengen in de uitvoering van de functies waarin de contractuele overeenkomst voorziet, met inbegrip van materiële wijzigingen die de overeenkomst of de situatie van de derde aanbieder van ICT-diensten nadelig beïnvloeden</w:t>
            </w:r>
            <w:r>
              <w:rPr>
                <w:rFonts w:ascii="Calibri" w:hAnsi="Calibri" w:cs="Calibri"/>
                <w:color w:val="000000"/>
              </w:rPr>
              <w:t>;</w:t>
            </w:r>
          </w:p>
        </w:tc>
        <w:tc>
          <w:tcPr>
            <w:tcW w:w="1445" w:type="dxa"/>
          </w:tcPr>
          <w:p w14:paraId="076C0FF6" w14:textId="77777777" w:rsidR="00D53D4C" w:rsidRPr="00040FF6" w:rsidRDefault="00D53D4C" w:rsidP="001178B2">
            <w:pPr>
              <w:rPr>
                <w:rFonts w:ascii="Calibri" w:hAnsi="Calibri" w:cs="Calibri"/>
              </w:rPr>
            </w:pPr>
          </w:p>
        </w:tc>
        <w:tc>
          <w:tcPr>
            <w:tcW w:w="1829" w:type="dxa"/>
          </w:tcPr>
          <w:p w14:paraId="57AD01F8" w14:textId="77777777" w:rsidR="00D53D4C" w:rsidRPr="00040FF6" w:rsidRDefault="00D53D4C" w:rsidP="001178B2">
            <w:pPr>
              <w:rPr>
                <w:rFonts w:ascii="Calibri" w:hAnsi="Calibri" w:cs="Calibri"/>
              </w:rPr>
            </w:pPr>
          </w:p>
        </w:tc>
        <w:tc>
          <w:tcPr>
            <w:tcW w:w="4188" w:type="dxa"/>
          </w:tcPr>
          <w:p w14:paraId="23316A60" w14:textId="77777777" w:rsidR="00D53D4C" w:rsidRPr="00040FF6" w:rsidRDefault="00D53D4C" w:rsidP="001178B2">
            <w:pPr>
              <w:rPr>
                <w:rFonts w:ascii="Calibri" w:hAnsi="Calibri" w:cs="Calibri"/>
              </w:rPr>
            </w:pPr>
          </w:p>
        </w:tc>
      </w:tr>
      <w:tr w:rsidR="00D53D4C" w:rsidRPr="00040FF6" w14:paraId="2AB8BCD1" w14:textId="77777777" w:rsidTr="00101194">
        <w:tc>
          <w:tcPr>
            <w:tcW w:w="703" w:type="dxa"/>
          </w:tcPr>
          <w:p w14:paraId="2A1DFE53" w14:textId="095AE08D" w:rsidR="00D53D4C" w:rsidRPr="00040FF6" w:rsidRDefault="0014770C" w:rsidP="001178B2">
            <w:pPr>
              <w:rPr>
                <w:rFonts w:ascii="Calibri" w:hAnsi="Calibri" w:cs="Calibri"/>
              </w:rPr>
            </w:pPr>
            <w:r>
              <w:rPr>
                <w:rFonts w:ascii="Calibri" w:hAnsi="Calibri" w:cs="Calibri"/>
              </w:rPr>
              <w:t>43c.</w:t>
            </w:r>
          </w:p>
        </w:tc>
        <w:tc>
          <w:tcPr>
            <w:tcW w:w="5174" w:type="dxa"/>
          </w:tcPr>
          <w:p w14:paraId="5BB27D42" w14:textId="6636B0BF" w:rsidR="00D53D4C" w:rsidRPr="00040FF6" w:rsidRDefault="00EB5A5D" w:rsidP="001178B2">
            <w:pPr>
              <w:rPr>
                <w:rFonts w:ascii="Calibri" w:hAnsi="Calibri" w:cs="Calibri"/>
                <w:color w:val="000000"/>
              </w:rPr>
            </w:pPr>
            <w:r w:rsidRPr="00EB5A5D">
              <w:rPr>
                <w:rFonts w:ascii="Calibri" w:hAnsi="Calibri" w:cs="Calibri"/>
                <w:color w:val="000000"/>
              </w:rPr>
              <w:t>bij klaarblijkelijke zwakheden van de derde aanbieder van ICT-diensten in verband met zijn algemeen beheer van het ICT-risico en in het bijzonder met de manier waarop hij zorgt voor de beschikbaarheid, authenticiteit, integriteit en vertrouwelijkheid van persoonlijke of anderszins gevoelige gegevens of niet-persoonsgebonden gegevens</w:t>
            </w:r>
            <w:r>
              <w:rPr>
                <w:rFonts w:ascii="Calibri" w:hAnsi="Calibri" w:cs="Calibri"/>
                <w:color w:val="000000"/>
              </w:rPr>
              <w:t>;</w:t>
            </w:r>
          </w:p>
        </w:tc>
        <w:tc>
          <w:tcPr>
            <w:tcW w:w="1445" w:type="dxa"/>
          </w:tcPr>
          <w:p w14:paraId="697C3546" w14:textId="77777777" w:rsidR="00D53D4C" w:rsidRPr="00040FF6" w:rsidRDefault="00D53D4C" w:rsidP="001178B2">
            <w:pPr>
              <w:rPr>
                <w:rFonts w:ascii="Calibri" w:hAnsi="Calibri" w:cs="Calibri"/>
              </w:rPr>
            </w:pPr>
          </w:p>
        </w:tc>
        <w:tc>
          <w:tcPr>
            <w:tcW w:w="1829" w:type="dxa"/>
          </w:tcPr>
          <w:p w14:paraId="5D14B8A3" w14:textId="77777777" w:rsidR="00D53D4C" w:rsidRPr="00040FF6" w:rsidRDefault="00D53D4C" w:rsidP="001178B2">
            <w:pPr>
              <w:rPr>
                <w:rFonts w:ascii="Calibri" w:hAnsi="Calibri" w:cs="Calibri"/>
              </w:rPr>
            </w:pPr>
          </w:p>
        </w:tc>
        <w:tc>
          <w:tcPr>
            <w:tcW w:w="4188" w:type="dxa"/>
          </w:tcPr>
          <w:p w14:paraId="7EFC28DE" w14:textId="77777777" w:rsidR="00D53D4C" w:rsidRPr="00040FF6" w:rsidRDefault="00D53D4C" w:rsidP="001178B2">
            <w:pPr>
              <w:rPr>
                <w:rFonts w:ascii="Calibri" w:hAnsi="Calibri" w:cs="Calibri"/>
              </w:rPr>
            </w:pPr>
          </w:p>
        </w:tc>
      </w:tr>
      <w:tr w:rsidR="00D53D4C" w:rsidRPr="00040FF6" w14:paraId="04B3AFC1" w14:textId="77777777" w:rsidTr="00101194">
        <w:tc>
          <w:tcPr>
            <w:tcW w:w="703" w:type="dxa"/>
          </w:tcPr>
          <w:p w14:paraId="089FCB64" w14:textId="793FAA82" w:rsidR="00D53D4C" w:rsidRPr="00040FF6" w:rsidRDefault="00EB5A5D" w:rsidP="001178B2">
            <w:pPr>
              <w:rPr>
                <w:rFonts w:ascii="Calibri" w:hAnsi="Calibri" w:cs="Calibri"/>
              </w:rPr>
            </w:pPr>
            <w:r>
              <w:rPr>
                <w:rFonts w:ascii="Calibri" w:hAnsi="Calibri" w:cs="Calibri"/>
              </w:rPr>
              <w:t>43d.</w:t>
            </w:r>
          </w:p>
        </w:tc>
        <w:tc>
          <w:tcPr>
            <w:tcW w:w="5174" w:type="dxa"/>
          </w:tcPr>
          <w:p w14:paraId="754A73E5" w14:textId="47E85715" w:rsidR="00D53D4C" w:rsidRPr="00040FF6" w:rsidRDefault="00876960" w:rsidP="001178B2">
            <w:pPr>
              <w:rPr>
                <w:rFonts w:ascii="Calibri" w:hAnsi="Calibri" w:cs="Calibri"/>
                <w:color w:val="000000"/>
              </w:rPr>
            </w:pPr>
            <w:r w:rsidRPr="00876960">
              <w:rPr>
                <w:rFonts w:ascii="Calibri" w:hAnsi="Calibri" w:cs="Calibri"/>
                <w:color w:val="000000"/>
              </w:rPr>
              <w:t>indien de bevoegde autoriteit niet langer doeltreffend toezicht kan uitoefenen op de financiële entiteit ten gevolge van de voorwaarden van of de omstandigheden in verband met de respectieve contractuele overeenkomst.</w:t>
            </w:r>
          </w:p>
        </w:tc>
        <w:tc>
          <w:tcPr>
            <w:tcW w:w="1445" w:type="dxa"/>
          </w:tcPr>
          <w:p w14:paraId="444D1DB7" w14:textId="77777777" w:rsidR="00D53D4C" w:rsidRPr="00040FF6" w:rsidRDefault="00D53D4C" w:rsidP="001178B2">
            <w:pPr>
              <w:rPr>
                <w:rFonts w:ascii="Calibri" w:hAnsi="Calibri" w:cs="Calibri"/>
              </w:rPr>
            </w:pPr>
          </w:p>
        </w:tc>
        <w:tc>
          <w:tcPr>
            <w:tcW w:w="1829" w:type="dxa"/>
          </w:tcPr>
          <w:p w14:paraId="5D79C354" w14:textId="77777777" w:rsidR="00D53D4C" w:rsidRPr="00040FF6" w:rsidRDefault="00D53D4C" w:rsidP="001178B2">
            <w:pPr>
              <w:rPr>
                <w:rFonts w:ascii="Calibri" w:hAnsi="Calibri" w:cs="Calibri"/>
              </w:rPr>
            </w:pPr>
          </w:p>
        </w:tc>
        <w:tc>
          <w:tcPr>
            <w:tcW w:w="4188" w:type="dxa"/>
          </w:tcPr>
          <w:p w14:paraId="23476328" w14:textId="77777777" w:rsidR="00D53D4C" w:rsidRPr="00040FF6" w:rsidRDefault="00D53D4C" w:rsidP="001178B2">
            <w:pPr>
              <w:rPr>
                <w:rFonts w:ascii="Calibri" w:hAnsi="Calibri" w:cs="Calibri"/>
              </w:rPr>
            </w:pPr>
          </w:p>
        </w:tc>
      </w:tr>
      <w:tr w:rsidR="00616A3C" w:rsidRPr="002804C6" w14:paraId="484B0A55" w14:textId="77777777" w:rsidTr="00616A3C">
        <w:tc>
          <w:tcPr>
            <w:tcW w:w="13339" w:type="dxa"/>
            <w:gridSpan w:val="5"/>
            <w:shd w:val="clear" w:color="auto" w:fill="7030A0"/>
          </w:tcPr>
          <w:p w14:paraId="70996881" w14:textId="63C1B122" w:rsidR="00616A3C" w:rsidRPr="002804C6" w:rsidRDefault="00616A3C" w:rsidP="00B06CA7">
            <w:pPr>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DORA – Algemene verplichtingen voor </w:t>
            </w:r>
            <w:r w:rsidR="00501970">
              <w:rPr>
                <w:rFonts w:ascii="Calibri" w:hAnsi="Calibri" w:cs="Calibri"/>
                <w:b/>
                <w:bCs/>
                <w:color w:val="FFFFFF" w:themeColor="background1"/>
                <w:sz w:val="24"/>
                <w:szCs w:val="24"/>
              </w:rPr>
              <w:t>ICT-diensten die kritieke of belangrijke functies ondersteunen</w:t>
            </w:r>
            <w:r>
              <w:rPr>
                <w:rFonts w:ascii="Calibri" w:hAnsi="Calibri" w:cs="Calibri"/>
                <w:b/>
                <w:bCs/>
                <w:color w:val="FFFFFF" w:themeColor="background1"/>
                <w:sz w:val="24"/>
                <w:szCs w:val="24"/>
              </w:rPr>
              <w:t xml:space="preserve"> </w:t>
            </w:r>
          </w:p>
        </w:tc>
      </w:tr>
      <w:tr w:rsidR="00501970" w:rsidRPr="00040FF6" w14:paraId="536EE8D7" w14:textId="77777777" w:rsidTr="0096269A">
        <w:tc>
          <w:tcPr>
            <w:tcW w:w="13339" w:type="dxa"/>
            <w:gridSpan w:val="5"/>
          </w:tcPr>
          <w:p w14:paraId="5241C157" w14:textId="77777777" w:rsidR="00501970" w:rsidRDefault="00501970" w:rsidP="001178B2">
            <w:pPr>
              <w:rPr>
                <w:rFonts w:ascii="Calibri" w:hAnsi="Calibri" w:cs="Calibri"/>
              </w:rPr>
            </w:pPr>
            <w:r>
              <w:rPr>
                <w:rFonts w:ascii="Calibri" w:hAnsi="Calibri" w:cs="Calibri"/>
                <w:b/>
                <w:bCs/>
              </w:rPr>
              <w:t>N.B.</w:t>
            </w:r>
            <w:r w:rsidR="002B0462">
              <w:rPr>
                <w:rFonts w:ascii="Calibri" w:hAnsi="Calibri" w:cs="Calibri"/>
              </w:rPr>
              <w:t>: een ‘</w:t>
            </w:r>
            <w:r w:rsidR="002B0462" w:rsidRPr="002B0462">
              <w:rPr>
                <w:rFonts w:ascii="Calibri" w:hAnsi="Calibri" w:cs="Calibri"/>
                <w:b/>
                <w:bCs/>
              </w:rPr>
              <w:t>kritieke of belangrijke functie</w:t>
            </w:r>
            <w:r w:rsidR="002B0462">
              <w:rPr>
                <w:rFonts w:ascii="Calibri" w:hAnsi="Calibri" w:cs="Calibri"/>
              </w:rPr>
              <w:t>’ is als volgt gedefinieerd in artikel 3(22) DORA:</w:t>
            </w:r>
          </w:p>
          <w:p w14:paraId="11D92BB8" w14:textId="295EDD78" w:rsidR="002B0462" w:rsidRPr="002734AD" w:rsidRDefault="002734AD" w:rsidP="001178B2">
            <w:pPr>
              <w:rPr>
                <w:rFonts w:ascii="Calibri" w:hAnsi="Calibri" w:cs="Calibri"/>
                <w:i/>
                <w:iCs/>
              </w:rPr>
            </w:pPr>
            <w:r>
              <w:rPr>
                <w:rFonts w:ascii="Calibri" w:hAnsi="Calibri" w:cs="Calibri"/>
                <w:i/>
                <w:iCs/>
              </w:rPr>
              <w:t>“</w:t>
            </w:r>
            <w:r w:rsidRPr="002734AD">
              <w:rPr>
                <w:rFonts w:ascii="Calibri" w:hAnsi="Calibri" w:cs="Calibri"/>
                <w:i/>
                <w:iCs/>
              </w:rPr>
              <w:t>een functie waarvan de verstoring wezenlijk afbreuk zou doen aan de financiële prestaties van een financiële entiteit of aan de soliditeit of de continuïteit van haar diensten en activiteiten, of waarvan de beëindiging of gebrekkige of mislukte uitvoering wezenlijk afbreuk zou doen aan de permanente naleving door een financiële entiteit van de voorwaarden en verplichtingen uit hoofde van haar vergunning of haar andere verplichtingen uit hoofde van het toepasselijke recht inzake financiële diensten</w:t>
            </w:r>
            <w:r>
              <w:rPr>
                <w:rFonts w:ascii="Calibri" w:hAnsi="Calibri" w:cs="Calibri"/>
                <w:i/>
                <w:iCs/>
              </w:rPr>
              <w:t>”.</w:t>
            </w:r>
          </w:p>
        </w:tc>
      </w:tr>
      <w:tr w:rsidR="00EB5A5D" w:rsidRPr="00040FF6" w14:paraId="3BB3071F" w14:textId="77777777" w:rsidTr="00101194">
        <w:tc>
          <w:tcPr>
            <w:tcW w:w="703" w:type="dxa"/>
          </w:tcPr>
          <w:p w14:paraId="00635484" w14:textId="095677A7" w:rsidR="00EB5A5D" w:rsidRPr="00040FF6" w:rsidRDefault="002734AD" w:rsidP="001178B2">
            <w:pPr>
              <w:rPr>
                <w:rFonts w:ascii="Calibri" w:hAnsi="Calibri" w:cs="Calibri"/>
              </w:rPr>
            </w:pPr>
            <w:r>
              <w:rPr>
                <w:rFonts w:ascii="Calibri" w:hAnsi="Calibri" w:cs="Calibri"/>
              </w:rPr>
              <w:t>44.</w:t>
            </w:r>
          </w:p>
        </w:tc>
        <w:tc>
          <w:tcPr>
            <w:tcW w:w="5174" w:type="dxa"/>
          </w:tcPr>
          <w:p w14:paraId="7DAE0A84" w14:textId="5156A65B" w:rsidR="00EB5A5D" w:rsidRPr="00040FF6" w:rsidRDefault="00FB39FC" w:rsidP="001178B2">
            <w:pPr>
              <w:rPr>
                <w:rFonts w:ascii="Calibri" w:hAnsi="Calibri" w:cs="Calibri"/>
                <w:color w:val="000000"/>
              </w:rPr>
            </w:pPr>
            <w:r>
              <w:rPr>
                <w:rFonts w:ascii="Calibri" w:hAnsi="Calibri" w:cs="Calibri"/>
                <w:color w:val="000000"/>
              </w:rPr>
              <w:t>B</w:t>
            </w:r>
            <w:r w:rsidRPr="00FB39FC">
              <w:rPr>
                <w:rFonts w:ascii="Calibri" w:hAnsi="Calibri" w:cs="Calibri"/>
                <w:color w:val="000000"/>
              </w:rPr>
              <w:t xml:space="preserve">eschrijvingen van het niveau van volledige dienstverlening, met inbegrip van actualiseringen en herzieningen daarvan met nauwkeurige kwantitatieve en kwalitatieve prestatiedoelstellingen binnen de overeengekomen dienstverleningsniveaus, teneinde de </w:t>
            </w:r>
            <w:r w:rsidRPr="00FB39FC">
              <w:rPr>
                <w:rFonts w:ascii="Calibri" w:hAnsi="Calibri" w:cs="Calibri"/>
                <w:color w:val="000000"/>
              </w:rPr>
              <w:lastRenderedPageBreak/>
              <w:t>financiële entiteit in staat te stellen een doeltreffende monitoring van de ICT-diensten te verrichten en onverwijld passende corrigerende maatregelen te nemen wanneer de overeengekomen dienstverleningsniveaus niet worden gehaald</w:t>
            </w:r>
            <w:r>
              <w:rPr>
                <w:rFonts w:ascii="Calibri" w:hAnsi="Calibri" w:cs="Calibri"/>
                <w:color w:val="000000"/>
              </w:rPr>
              <w:t>.</w:t>
            </w:r>
          </w:p>
        </w:tc>
        <w:tc>
          <w:tcPr>
            <w:tcW w:w="1445" w:type="dxa"/>
          </w:tcPr>
          <w:p w14:paraId="18D65D7F" w14:textId="77777777" w:rsidR="00EB5A5D" w:rsidRPr="00040FF6" w:rsidRDefault="00EB5A5D" w:rsidP="001178B2">
            <w:pPr>
              <w:rPr>
                <w:rFonts w:ascii="Calibri" w:hAnsi="Calibri" w:cs="Calibri"/>
              </w:rPr>
            </w:pPr>
          </w:p>
        </w:tc>
        <w:tc>
          <w:tcPr>
            <w:tcW w:w="1829" w:type="dxa"/>
          </w:tcPr>
          <w:p w14:paraId="72CD9671" w14:textId="77777777" w:rsidR="00EB5A5D" w:rsidRPr="00040FF6" w:rsidRDefault="00EB5A5D" w:rsidP="001178B2">
            <w:pPr>
              <w:rPr>
                <w:rFonts w:ascii="Calibri" w:hAnsi="Calibri" w:cs="Calibri"/>
              </w:rPr>
            </w:pPr>
          </w:p>
        </w:tc>
        <w:tc>
          <w:tcPr>
            <w:tcW w:w="4188" w:type="dxa"/>
          </w:tcPr>
          <w:p w14:paraId="54116DED" w14:textId="77777777" w:rsidR="00EB5A5D" w:rsidRPr="00040FF6" w:rsidRDefault="00EB5A5D" w:rsidP="001178B2">
            <w:pPr>
              <w:rPr>
                <w:rFonts w:ascii="Calibri" w:hAnsi="Calibri" w:cs="Calibri"/>
              </w:rPr>
            </w:pPr>
          </w:p>
        </w:tc>
      </w:tr>
      <w:tr w:rsidR="00EB5A5D" w:rsidRPr="00040FF6" w14:paraId="6DB3A7CE" w14:textId="77777777" w:rsidTr="00101194">
        <w:tc>
          <w:tcPr>
            <w:tcW w:w="703" w:type="dxa"/>
          </w:tcPr>
          <w:p w14:paraId="4D22470C" w14:textId="38A51681" w:rsidR="00EB5A5D" w:rsidRPr="00040FF6" w:rsidRDefault="00787AAC" w:rsidP="001178B2">
            <w:pPr>
              <w:rPr>
                <w:rFonts w:ascii="Calibri" w:hAnsi="Calibri" w:cs="Calibri"/>
              </w:rPr>
            </w:pPr>
            <w:r>
              <w:rPr>
                <w:rFonts w:ascii="Calibri" w:hAnsi="Calibri" w:cs="Calibri"/>
              </w:rPr>
              <w:t>45.</w:t>
            </w:r>
          </w:p>
        </w:tc>
        <w:tc>
          <w:tcPr>
            <w:tcW w:w="5174" w:type="dxa"/>
          </w:tcPr>
          <w:p w14:paraId="370C668F" w14:textId="70A21F85" w:rsidR="00EB5A5D" w:rsidRPr="00040FF6" w:rsidRDefault="00787AAC" w:rsidP="001178B2">
            <w:pPr>
              <w:rPr>
                <w:rFonts w:ascii="Calibri" w:hAnsi="Calibri" w:cs="Calibri"/>
                <w:color w:val="000000"/>
              </w:rPr>
            </w:pPr>
            <w:r>
              <w:rPr>
                <w:rFonts w:ascii="Calibri" w:hAnsi="Calibri" w:cs="Calibri"/>
                <w:color w:val="000000"/>
              </w:rPr>
              <w:t>K</w:t>
            </w:r>
            <w:r w:rsidRPr="00787AAC">
              <w:rPr>
                <w:rFonts w:ascii="Calibri" w:hAnsi="Calibri" w:cs="Calibri"/>
                <w:color w:val="000000"/>
              </w:rPr>
              <w:t>ennisgevingstermijnen en rapportageverplichtingen van de derde aanbieder van ICT-diensten ten aanzien van de financiële entiteit, met inbegrip van de kennisgeving van ontwikkelingen die materiële gevolgen kunnen hebben voor het vermogen van de derde aanbieder om op doeltreffende wijze de ICT-diensten die kritieke of belangrijke functies ondersteunen te leveren in overeenstemming met de afgesproken dienstverleningsniveaus</w:t>
            </w:r>
            <w:r>
              <w:rPr>
                <w:rFonts w:ascii="Calibri" w:hAnsi="Calibri" w:cs="Calibri"/>
                <w:color w:val="000000"/>
              </w:rPr>
              <w:t>.</w:t>
            </w:r>
          </w:p>
        </w:tc>
        <w:tc>
          <w:tcPr>
            <w:tcW w:w="1445" w:type="dxa"/>
          </w:tcPr>
          <w:p w14:paraId="71C75590" w14:textId="77777777" w:rsidR="00EB5A5D" w:rsidRPr="00040FF6" w:rsidRDefault="00EB5A5D" w:rsidP="001178B2">
            <w:pPr>
              <w:rPr>
                <w:rFonts w:ascii="Calibri" w:hAnsi="Calibri" w:cs="Calibri"/>
              </w:rPr>
            </w:pPr>
          </w:p>
        </w:tc>
        <w:tc>
          <w:tcPr>
            <w:tcW w:w="1829" w:type="dxa"/>
          </w:tcPr>
          <w:p w14:paraId="072A5872" w14:textId="77777777" w:rsidR="00EB5A5D" w:rsidRPr="00040FF6" w:rsidRDefault="00EB5A5D" w:rsidP="001178B2">
            <w:pPr>
              <w:rPr>
                <w:rFonts w:ascii="Calibri" w:hAnsi="Calibri" w:cs="Calibri"/>
              </w:rPr>
            </w:pPr>
          </w:p>
        </w:tc>
        <w:tc>
          <w:tcPr>
            <w:tcW w:w="4188" w:type="dxa"/>
          </w:tcPr>
          <w:p w14:paraId="7E8FCCE0" w14:textId="77777777" w:rsidR="00EB5A5D" w:rsidRPr="00040FF6" w:rsidRDefault="00EB5A5D" w:rsidP="001178B2">
            <w:pPr>
              <w:rPr>
                <w:rFonts w:ascii="Calibri" w:hAnsi="Calibri" w:cs="Calibri"/>
              </w:rPr>
            </w:pPr>
          </w:p>
        </w:tc>
      </w:tr>
      <w:tr w:rsidR="00EB5A5D" w:rsidRPr="00040FF6" w14:paraId="1047D8B1" w14:textId="77777777" w:rsidTr="00101194">
        <w:tc>
          <w:tcPr>
            <w:tcW w:w="703" w:type="dxa"/>
          </w:tcPr>
          <w:p w14:paraId="0F7ACCFE" w14:textId="55EF8A87" w:rsidR="00EB5A5D" w:rsidRPr="00040FF6" w:rsidRDefault="00787AAC" w:rsidP="001178B2">
            <w:pPr>
              <w:rPr>
                <w:rFonts w:ascii="Calibri" w:hAnsi="Calibri" w:cs="Calibri"/>
              </w:rPr>
            </w:pPr>
            <w:r>
              <w:rPr>
                <w:rFonts w:ascii="Calibri" w:hAnsi="Calibri" w:cs="Calibri"/>
              </w:rPr>
              <w:t xml:space="preserve">46. </w:t>
            </w:r>
          </w:p>
        </w:tc>
        <w:tc>
          <w:tcPr>
            <w:tcW w:w="5174" w:type="dxa"/>
          </w:tcPr>
          <w:p w14:paraId="7516D6AE" w14:textId="13009C62" w:rsidR="00EB5A5D" w:rsidRPr="00040FF6" w:rsidRDefault="00722BA5" w:rsidP="001178B2">
            <w:pPr>
              <w:rPr>
                <w:rFonts w:ascii="Calibri" w:hAnsi="Calibri" w:cs="Calibri"/>
                <w:color w:val="000000"/>
              </w:rPr>
            </w:pPr>
            <w:r>
              <w:rPr>
                <w:rFonts w:ascii="Calibri" w:hAnsi="Calibri" w:cs="Calibri"/>
                <w:color w:val="000000"/>
              </w:rPr>
              <w:t>V</w:t>
            </w:r>
            <w:r w:rsidRPr="00722BA5">
              <w:rPr>
                <w:rFonts w:ascii="Calibri" w:hAnsi="Calibri" w:cs="Calibri"/>
                <w:color w:val="000000"/>
              </w:rPr>
              <w:t>erplichtingen voor de derde aanbieder van ICT-diensten om bedrijfsnoodplannen in te voeren en te testen en te beschikken over ICT-beveiligingsmaatregelen, -instrumenten en -beleidslijnen waarmee de financiële entiteit kan zorgen voor een passend niveau van veiligheid bij het verlenen van diensten in overeenstemming met haar regelgevingskader</w:t>
            </w:r>
            <w:r>
              <w:rPr>
                <w:rFonts w:ascii="Calibri" w:hAnsi="Calibri" w:cs="Calibri"/>
                <w:color w:val="000000"/>
              </w:rPr>
              <w:t>.</w:t>
            </w:r>
          </w:p>
        </w:tc>
        <w:tc>
          <w:tcPr>
            <w:tcW w:w="1445" w:type="dxa"/>
          </w:tcPr>
          <w:p w14:paraId="0836CA13" w14:textId="77777777" w:rsidR="00EB5A5D" w:rsidRPr="00040FF6" w:rsidRDefault="00EB5A5D" w:rsidP="001178B2">
            <w:pPr>
              <w:rPr>
                <w:rFonts w:ascii="Calibri" w:hAnsi="Calibri" w:cs="Calibri"/>
              </w:rPr>
            </w:pPr>
          </w:p>
        </w:tc>
        <w:tc>
          <w:tcPr>
            <w:tcW w:w="1829" w:type="dxa"/>
          </w:tcPr>
          <w:p w14:paraId="38F2EDEE" w14:textId="77777777" w:rsidR="00EB5A5D" w:rsidRPr="00040FF6" w:rsidRDefault="00EB5A5D" w:rsidP="001178B2">
            <w:pPr>
              <w:rPr>
                <w:rFonts w:ascii="Calibri" w:hAnsi="Calibri" w:cs="Calibri"/>
              </w:rPr>
            </w:pPr>
          </w:p>
        </w:tc>
        <w:tc>
          <w:tcPr>
            <w:tcW w:w="4188" w:type="dxa"/>
          </w:tcPr>
          <w:p w14:paraId="5A9E91AF" w14:textId="77777777" w:rsidR="00EB5A5D" w:rsidRPr="00040FF6" w:rsidRDefault="00EB5A5D" w:rsidP="001178B2">
            <w:pPr>
              <w:rPr>
                <w:rFonts w:ascii="Calibri" w:hAnsi="Calibri" w:cs="Calibri"/>
              </w:rPr>
            </w:pPr>
          </w:p>
        </w:tc>
      </w:tr>
      <w:tr w:rsidR="00EB5A5D" w:rsidRPr="00040FF6" w14:paraId="241E0E24" w14:textId="77777777" w:rsidTr="00101194">
        <w:tc>
          <w:tcPr>
            <w:tcW w:w="703" w:type="dxa"/>
          </w:tcPr>
          <w:p w14:paraId="44830483" w14:textId="5ADB028C" w:rsidR="00EB5A5D" w:rsidRPr="00040FF6" w:rsidRDefault="00722BA5" w:rsidP="001178B2">
            <w:pPr>
              <w:rPr>
                <w:rFonts w:ascii="Calibri" w:hAnsi="Calibri" w:cs="Calibri"/>
              </w:rPr>
            </w:pPr>
            <w:r>
              <w:rPr>
                <w:rFonts w:ascii="Calibri" w:hAnsi="Calibri" w:cs="Calibri"/>
              </w:rPr>
              <w:t xml:space="preserve">47. </w:t>
            </w:r>
          </w:p>
        </w:tc>
        <w:tc>
          <w:tcPr>
            <w:tcW w:w="5174" w:type="dxa"/>
          </w:tcPr>
          <w:p w14:paraId="7150F139" w14:textId="173328AF" w:rsidR="00EB5A5D" w:rsidRPr="00040FF6" w:rsidRDefault="00722BA5" w:rsidP="001178B2">
            <w:pPr>
              <w:rPr>
                <w:rFonts w:ascii="Calibri" w:hAnsi="Calibri" w:cs="Calibri"/>
                <w:color w:val="000000"/>
              </w:rPr>
            </w:pPr>
            <w:r>
              <w:rPr>
                <w:rFonts w:ascii="Calibri" w:hAnsi="Calibri" w:cs="Calibri"/>
                <w:color w:val="000000"/>
              </w:rPr>
              <w:t>D</w:t>
            </w:r>
            <w:r w:rsidRPr="00722BA5">
              <w:rPr>
                <w:rFonts w:ascii="Calibri" w:hAnsi="Calibri" w:cs="Calibri"/>
                <w:color w:val="000000"/>
              </w:rPr>
              <w:t>e verplichting voor de derde aanbieder van ICT-diensten om deel te nemen aan en volledig mee te werken bij</w:t>
            </w:r>
            <w:r w:rsidR="00F565D8">
              <w:rPr>
                <w:rFonts w:ascii="Calibri" w:hAnsi="Calibri" w:cs="Calibri"/>
                <w:color w:val="000000"/>
              </w:rPr>
              <w:t xml:space="preserve"> </w:t>
            </w:r>
            <w:proofErr w:type="spellStart"/>
            <w:r w:rsidR="002F32D5" w:rsidRPr="002F32D5">
              <w:rPr>
                <w:rFonts w:ascii="Calibri" w:hAnsi="Calibri" w:cs="Calibri"/>
                <w:i/>
                <w:iCs/>
                <w:color w:val="000000"/>
              </w:rPr>
              <w:t>threat</w:t>
            </w:r>
            <w:proofErr w:type="spellEnd"/>
            <w:r w:rsidR="002F32D5" w:rsidRPr="002F32D5">
              <w:rPr>
                <w:rFonts w:ascii="Calibri" w:hAnsi="Calibri" w:cs="Calibri"/>
                <w:i/>
                <w:iCs/>
                <w:color w:val="000000"/>
              </w:rPr>
              <w:t xml:space="preserve"> led </w:t>
            </w:r>
            <w:proofErr w:type="spellStart"/>
            <w:r w:rsidR="002F32D5" w:rsidRPr="002F32D5">
              <w:rPr>
                <w:rFonts w:ascii="Calibri" w:hAnsi="Calibri" w:cs="Calibri"/>
                <w:i/>
                <w:iCs/>
                <w:color w:val="000000"/>
              </w:rPr>
              <w:t>penetration</w:t>
            </w:r>
            <w:proofErr w:type="spellEnd"/>
            <w:r w:rsidR="002F32D5" w:rsidRPr="002F32D5">
              <w:rPr>
                <w:rFonts w:ascii="Calibri" w:hAnsi="Calibri" w:cs="Calibri"/>
                <w:i/>
                <w:iCs/>
                <w:color w:val="000000"/>
              </w:rPr>
              <w:t xml:space="preserve"> </w:t>
            </w:r>
            <w:proofErr w:type="spellStart"/>
            <w:r w:rsidR="002F32D5" w:rsidRPr="002F32D5">
              <w:rPr>
                <w:rFonts w:ascii="Calibri" w:hAnsi="Calibri" w:cs="Calibri"/>
                <w:i/>
                <w:iCs/>
                <w:color w:val="000000"/>
              </w:rPr>
              <w:t>testing</w:t>
            </w:r>
            <w:proofErr w:type="spellEnd"/>
            <w:r w:rsidR="002F32D5">
              <w:rPr>
                <w:rFonts w:ascii="Calibri" w:hAnsi="Calibri" w:cs="Calibri"/>
                <w:color w:val="000000"/>
              </w:rPr>
              <w:t xml:space="preserve"> (</w:t>
            </w:r>
            <w:r w:rsidRPr="00722BA5">
              <w:rPr>
                <w:rFonts w:ascii="Calibri" w:hAnsi="Calibri" w:cs="Calibri"/>
                <w:color w:val="000000"/>
              </w:rPr>
              <w:t>TLPT</w:t>
            </w:r>
            <w:r w:rsidR="002F32D5">
              <w:rPr>
                <w:rFonts w:ascii="Calibri" w:hAnsi="Calibri" w:cs="Calibri"/>
                <w:color w:val="000000"/>
              </w:rPr>
              <w:t>)</w:t>
            </w:r>
            <w:r w:rsidRPr="00722BA5">
              <w:rPr>
                <w:rFonts w:ascii="Calibri" w:hAnsi="Calibri" w:cs="Calibri"/>
                <w:color w:val="000000"/>
              </w:rPr>
              <w:t xml:space="preserve"> van de financiële entiteit als bedoeld in de artikelen 26 en 27</w:t>
            </w:r>
            <w:r>
              <w:rPr>
                <w:rFonts w:ascii="Calibri" w:hAnsi="Calibri" w:cs="Calibri"/>
                <w:color w:val="000000"/>
              </w:rPr>
              <w:t xml:space="preserve"> DORA.</w:t>
            </w:r>
          </w:p>
        </w:tc>
        <w:tc>
          <w:tcPr>
            <w:tcW w:w="1445" w:type="dxa"/>
          </w:tcPr>
          <w:p w14:paraId="49431D87" w14:textId="77777777" w:rsidR="00EB5A5D" w:rsidRPr="00040FF6" w:rsidRDefault="00EB5A5D" w:rsidP="001178B2">
            <w:pPr>
              <w:rPr>
                <w:rFonts w:ascii="Calibri" w:hAnsi="Calibri" w:cs="Calibri"/>
              </w:rPr>
            </w:pPr>
          </w:p>
        </w:tc>
        <w:tc>
          <w:tcPr>
            <w:tcW w:w="1829" w:type="dxa"/>
          </w:tcPr>
          <w:p w14:paraId="2ED0ADC5" w14:textId="77777777" w:rsidR="00EB5A5D" w:rsidRPr="00040FF6" w:rsidRDefault="00EB5A5D" w:rsidP="001178B2">
            <w:pPr>
              <w:rPr>
                <w:rFonts w:ascii="Calibri" w:hAnsi="Calibri" w:cs="Calibri"/>
              </w:rPr>
            </w:pPr>
          </w:p>
        </w:tc>
        <w:tc>
          <w:tcPr>
            <w:tcW w:w="4188" w:type="dxa"/>
          </w:tcPr>
          <w:p w14:paraId="16A71D5C" w14:textId="77777777" w:rsidR="00EB5A5D" w:rsidRPr="00040FF6" w:rsidRDefault="00EB5A5D" w:rsidP="001178B2">
            <w:pPr>
              <w:rPr>
                <w:rFonts w:ascii="Calibri" w:hAnsi="Calibri" w:cs="Calibri"/>
              </w:rPr>
            </w:pPr>
          </w:p>
        </w:tc>
      </w:tr>
      <w:tr w:rsidR="00903FEB" w:rsidRPr="00040FF6" w14:paraId="3703D091" w14:textId="77777777" w:rsidTr="00F420E3">
        <w:tc>
          <w:tcPr>
            <w:tcW w:w="13339" w:type="dxa"/>
            <w:gridSpan w:val="5"/>
          </w:tcPr>
          <w:p w14:paraId="663F0590" w14:textId="511A6C8E" w:rsidR="00903FEB" w:rsidRDefault="00903FEB" w:rsidP="001178B2">
            <w:pPr>
              <w:rPr>
                <w:rFonts w:ascii="Calibri" w:hAnsi="Calibri" w:cs="Calibri"/>
              </w:rPr>
            </w:pPr>
            <w:r>
              <w:rPr>
                <w:rFonts w:ascii="Calibri" w:hAnsi="Calibri" w:cs="Calibri"/>
                <w:b/>
                <w:bCs/>
              </w:rPr>
              <w:t>N.B.</w:t>
            </w:r>
            <w:r w:rsidRPr="00903FEB">
              <w:rPr>
                <w:rFonts w:ascii="Calibri" w:hAnsi="Calibri" w:cs="Calibri"/>
              </w:rPr>
              <w:t>:</w:t>
            </w:r>
            <w:r>
              <w:rPr>
                <w:rFonts w:ascii="Calibri" w:hAnsi="Calibri" w:cs="Calibri"/>
                <w:b/>
                <w:bCs/>
              </w:rPr>
              <w:t xml:space="preserve"> </w:t>
            </w:r>
            <w:r>
              <w:rPr>
                <w:rFonts w:ascii="Calibri" w:hAnsi="Calibri" w:cs="Calibri"/>
              </w:rPr>
              <w:t xml:space="preserve">In afwijking van punt </w:t>
            </w:r>
            <w:r w:rsidR="002F3142">
              <w:rPr>
                <w:rFonts w:ascii="Calibri" w:hAnsi="Calibri" w:cs="Calibri"/>
              </w:rPr>
              <w:t xml:space="preserve">47 </w:t>
            </w:r>
            <w:r w:rsidR="009F55E3">
              <w:rPr>
                <w:rFonts w:ascii="Calibri" w:hAnsi="Calibri" w:cs="Calibri"/>
              </w:rPr>
              <w:t xml:space="preserve">hierboven, kunnen de </w:t>
            </w:r>
            <w:r w:rsidR="0043317A">
              <w:rPr>
                <w:rFonts w:ascii="Calibri" w:hAnsi="Calibri" w:cs="Calibri"/>
              </w:rPr>
              <w:t>derde aanbieder van ICT-diensten</w:t>
            </w:r>
            <w:r w:rsidR="009F55E3">
              <w:rPr>
                <w:rFonts w:ascii="Calibri" w:hAnsi="Calibri" w:cs="Calibri"/>
              </w:rPr>
              <w:t xml:space="preserve"> en </w:t>
            </w:r>
            <w:r w:rsidR="00BF3D1F">
              <w:rPr>
                <w:rFonts w:ascii="Calibri" w:hAnsi="Calibri" w:cs="Calibri"/>
              </w:rPr>
              <w:t>de financiële entiteit die een micro-onderneming is, overeenkomen dat de rechten van toegang</w:t>
            </w:r>
            <w:r w:rsidR="00B96E94">
              <w:rPr>
                <w:rFonts w:ascii="Calibri" w:hAnsi="Calibri" w:cs="Calibri"/>
              </w:rPr>
              <w:t xml:space="preserve">, inspectie en audit van de financiële entiteit mogen worden gedelegeerd aan een onafhankelijke derde partij die wordt aangesteld door de </w:t>
            </w:r>
            <w:r w:rsidR="0043317A">
              <w:rPr>
                <w:rFonts w:ascii="Calibri" w:hAnsi="Calibri" w:cs="Calibri"/>
              </w:rPr>
              <w:t>derde aanbieder van ICT-diensten</w:t>
            </w:r>
            <w:r w:rsidR="002F192C">
              <w:rPr>
                <w:rFonts w:ascii="Calibri" w:hAnsi="Calibri" w:cs="Calibri"/>
              </w:rPr>
              <w:t xml:space="preserve">, en dat de financiële entiteit de derde partij te allen tijde om informatie en garanties kan verzoeken met betrekking tot de prestaties van de </w:t>
            </w:r>
            <w:r w:rsidR="0043317A">
              <w:rPr>
                <w:rFonts w:ascii="Calibri" w:hAnsi="Calibri" w:cs="Calibri"/>
              </w:rPr>
              <w:t>derde aanbieder van ICT-diensten</w:t>
            </w:r>
            <w:r w:rsidR="002F192C">
              <w:rPr>
                <w:rFonts w:ascii="Calibri" w:hAnsi="Calibri" w:cs="Calibri"/>
              </w:rPr>
              <w:t>.</w:t>
            </w:r>
          </w:p>
          <w:p w14:paraId="6F2D46D8" w14:textId="53DB7F8C" w:rsidR="002F192C" w:rsidRPr="00B55DA0" w:rsidRDefault="00B55DA0" w:rsidP="001178B2">
            <w:pPr>
              <w:rPr>
                <w:rFonts w:ascii="Calibri" w:hAnsi="Calibri" w:cs="Calibri"/>
                <w:i/>
                <w:iCs/>
              </w:rPr>
            </w:pPr>
            <w:r>
              <w:rPr>
                <w:rFonts w:ascii="Calibri" w:hAnsi="Calibri" w:cs="Calibri"/>
              </w:rPr>
              <w:lastRenderedPageBreak/>
              <w:t>Een ‘</w:t>
            </w:r>
            <w:r>
              <w:rPr>
                <w:rFonts w:ascii="Calibri" w:hAnsi="Calibri" w:cs="Calibri"/>
                <w:b/>
                <w:bCs/>
              </w:rPr>
              <w:t>micro-onderneming</w:t>
            </w:r>
            <w:r>
              <w:rPr>
                <w:rFonts w:ascii="Calibri" w:hAnsi="Calibri" w:cs="Calibri"/>
              </w:rPr>
              <w:t xml:space="preserve">’ is gedefinieerd als: </w:t>
            </w:r>
            <w:r>
              <w:rPr>
                <w:rFonts w:ascii="Calibri" w:hAnsi="Calibri" w:cs="Calibri"/>
                <w:i/>
                <w:iCs/>
              </w:rPr>
              <w:t>“</w:t>
            </w:r>
            <w:r w:rsidR="00C40344" w:rsidRPr="00C40344">
              <w:rPr>
                <w:rFonts w:ascii="Calibri" w:hAnsi="Calibri" w:cs="Calibri"/>
                <w:i/>
                <w:iCs/>
              </w:rPr>
              <w:t xml:space="preserve">een financiële entiteit die geen handelsplatform, centrale tegenpartij, transactieregister of centrale </w:t>
            </w:r>
            <w:proofErr w:type="spellStart"/>
            <w:r w:rsidR="00C40344" w:rsidRPr="00C40344">
              <w:rPr>
                <w:rFonts w:ascii="Calibri" w:hAnsi="Calibri" w:cs="Calibri"/>
                <w:i/>
                <w:iCs/>
              </w:rPr>
              <w:t>effectenbewaarinstelling</w:t>
            </w:r>
            <w:proofErr w:type="spellEnd"/>
            <w:r w:rsidR="00C40344" w:rsidRPr="00C40344">
              <w:rPr>
                <w:rFonts w:ascii="Calibri" w:hAnsi="Calibri" w:cs="Calibri"/>
                <w:i/>
                <w:iCs/>
              </w:rPr>
              <w:t xml:space="preserve"> is, en </w:t>
            </w:r>
            <w:r w:rsidR="00C40344" w:rsidRPr="00636A6B">
              <w:rPr>
                <w:rFonts w:ascii="Calibri" w:hAnsi="Calibri" w:cs="Calibri"/>
                <w:i/>
                <w:iCs/>
                <w:u w:val="single"/>
              </w:rPr>
              <w:t>waar minder dan 10 personen werkzaam zijn</w:t>
            </w:r>
            <w:r w:rsidR="00C40344" w:rsidRPr="00C40344">
              <w:rPr>
                <w:rFonts w:ascii="Calibri" w:hAnsi="Calibri" w:cs="Calibri"/>
                <w:i/>
                <w:iCs/>
              </w:rPr>
              <w:t xml:space="preserve"> en </w:t>
            </w:r>
            <w:r w:rsidR="00C40344" w:rsidRPr="00636A6B">
              <w:rPr>
                <w:rFonts w:ascii="Calibri" w:hAnsi="Calibri" w:cs="Calibri"/>
                <w:i/>
                <w:iCs/>
                <w:u w:val="single"/>
              </w:rPr>
              <w:t>waarvan de jaaromzet en/of het jaarlijkse balanstotaal niet hoger liggen dan</w:t>
            </w:r>
            <w:r w:rsidR="00C40344" w:rsidRPr="00636A6B">
              <w:rPr>
                <w:rFonts w:ascii="Calibri" w:hAnsi="Calibri" w:cs="Calibri"/>
                <w:i/>
                <w:iCs/>
                <w:u w:val="single"/>
              </w:rPr>
              <w:t xml:space="preserve"> EUR </w:t>
            </w:r>
            <w:r w:rsidR="00C40344" w:rsidRPr="00636A6B">
              <w:rPr>
                <w:rFonts w:ascii="Calibri" w:hAnsi="Calibri" w:cs="Calibri"/>
                <w:i/>
                <w:iCs/>
                <w:u w:val="single"/>
              </w:rPr>
              <w:t>2 miljoen</w:t>
            </w:r>
            <w:r w:rsidR="00C40344">
              <w:rPr>
                <w:rFonts w:ascii="Calibri" w:hAnsi="Calibri" w:cs="Calibri"/>
                <w:i/>
                <w:iCs/>
              </w:rPr>
              <w:t>.</w:t>
            </w:r>
            <w:r w:rsidR="009A44F9">
              <w:rPr>
                <w:rFonts w:ascii="Calibri" w:hAnsi="Calibri" w:cs="Calibri"/>
                <w:i/>
                <w:iCs/>
              </w:rPr>
              <w:t>”</w:t>
            </w:r>
          </w:p>
        </w:tc>
      </w:tr>
      <w:tr w:rsidR="00903FEB" w:rsidRPr="00040FF6" w14:paraId="40114B8C" w14:textId="77777777" w:rsidTr="00101194">
        <w:tc>
          <w:tcPr>
            <w:tcW w:w="703" w:type="dxa"/>
          </w:tcPr>
          <w:p w14:paraId="3FA5A871" w14:textId="07B812EA" w:rsidR="00903FEB" w:rsidRPr="00040FF6" w:rsidRDefault="0043317A" w:rsidP="001178B2">
            <w:pPr>
              <w:rPr>
                <w:rFonts w:ascii="Calibri" w:hAnsi="Calibri" w:cs="Calibri"/>
              </w:rPr>
            </w:pPr>
            <w:r>
              <w:rPr>
                <w:rFonts w:ascii="Calibri" w:hAnsi="Calibri" w:cs="Calibri"/>
              </w:rPr>
              <w:lastRenderedPageBreak/>
              <w:t>48.</w:t>
            </w:r>
          </w:p>
        </w:tc>
        <w:tc>
          <w:tcPr>
            <w:tcW w:w="5174" w:type="dxa"/>
          </w:tcPr>
          <w:p w14:paraId="513BDBE7" w14:textId="50B95C7A" w:rsidR="00903FEB" w:rsidRPr="00040FF6" w:rsidRDefault="0043317A" w:rsidP="001178B2">
            <w:pPr>
              <w:rPr>
                <w:rFonts w:ascii="Calibri" w:hAnsi="Calibri" w:cs="Calibri"/>
                <w:color w:val="000000"/>
              </w:rPr>
            </w:pPr>
            <w:r>
              <w:rPr>
                <w:rFonts w:ascii="Calibri" w:hAnsi="Calibri" w:cs="Calibri"/>
                <w:color w:val="000000"/>
              </w:rPr>
              <w:t>H</w:t>
            </w:r>
            <w:r w:rsidRPr="0043317A">
              <w:rPr>
                <w:rFonts w:ascii="Calibri" w:hAnsi="Calibri" w:cs="Calibri"/>
                <w:color w:val="000000"/>
              </w:rPr>
              <w:t>et recht om de prestaties van de derde aanbieder van ICT-diensten permanent te monitoren, hetgeen het volgende inhoudt</w:t>
            </w:r>
            <w:r>
              <w:rPr>
                <w:rFonts w:ascii="Calibri" w:hAnsi="Calibri" w:cs="Calibri"/>
                <w:color w:val="000000"/>
              </w:rPr>
              <w:t>:</w:t>
            </w:r>
          </w:p>
        </w:tc>
        <w:tc>
          <w:tcPr>
            <w:tcW w:w="1445" w:type="dxa"/>
          </w:tcPr>
          <w:p w14:paraId="0070197E" w14:textId="77777777" w:rsidR="00903FEB" w:rsidRPr="00040FF6" w:rsidRDefault="00903FEB" w:rsidP="001178B2">
            <w:pPr>
              <w:rPr>
                <w:rFonts w:ascii="Calibri" w:hAnsi="Calibri" w:cs="Calibri"/>
              </w:rPr>
            </w:pPr>
          </w:p>
        </w:tc>
        <w:tc>
          <w:tcPr>
            <w:tcW w:w="1829" w:type="dxa"/>
          </w:tcPr>
          <w:p w14:paraId="678EB1D1" w14:textId="77777777" w:rsidR="00903FEB" w:rsidRPr="00040FF6" w:rsidRDefault="00903FEB" w:rsidP="001178B2">
            <w:pPr>
              <w:rPr>
                <w:rFonts w:ascii="Calibri" w:hAnsi="Calibri" w:cs="Calibri"/>
              </w:rPr>
            </w:pPr>
          </w:p>
        </w:tc>
        <w:tc>
          <w:tcPr>
            <w:tcW w:w="4188" w:type="dxa"/>
          </w:tcPr>
          <w:p w14:paraId="68487DDC" w14:textId="77777777" w:rsidR="00903FEB" w:rsidRPr="00040FF6" w:rsidRDefault="00903FEB" w:rsidP="001178B2">
            <w:pPr>
              <w:rPr>
                <w:rFonts w:ascii="Calibri" w:hAnsi="Calibri" w:cs="Calibri"/>
              </w:rPr>
            </w:pPr>
          </w:p>
        </w:tc>
      </w:tr>
      <w:tr w:rsidR="00903FEB" w:rsidRPr="00040FF6" w14:paraId="7E78E0CD" w14:textId="77777777" w:rsidTr="00101194">
        <w:tc>
          <w:tcPr>
            <w:tcW w:w="703" w:type="dxa"/>
          </w:tcPr>
          <w:p w14:paraId="7C4A28FB" w14:textId="7E995AC2" w:rsidR="00903FEB" w:rsidRPr="00040FF6" w:rsidRDefault="0043317A" w:rsidP="001178B2">
            <w:pPr>
              <w:rPr>
                <w:rFonts w:ascii="Calibri" w:hAnsi="Calibri" w:cs="Calibri"/>
              </w:rPr>
            </w:pPr>
            <w:r>
              <w:rPr>
                <w:rFonts w:ascii="Calibri" w:hAnsi="Calibri" w:cs="Calibri"/>
              </w:rPr>
              <w:t>48a.</w:t>
            </w:r>
          </w:p>
        </w:tc>
        <w:tc>
          <w:tcPr>
            <w:tcW w:w="5174" w:type="dxa"/>
          </w:tcPr>
          <w:p w14:paraId="44131B0C" w14:textId="4A462F4F" w:rsidR="00903FEB" w:rsidRPr="00040FF6" w:rsidRDefault="001C4F7A" w:rsidP="001178B2">
            <w:pPr>
              <w:rPr>
                <w:rFonts w:ascii="Calibri" w:hAnsi="Calibri" w:cs="Calibri"/>
                <w:color w:val="000000"/>
              </w:rPr>
            </w:pPr>
            <w:r w:rsidRPr="001C4F7A">
              <w:rPr>
                <w:rFonts w:ascii="Calibri" w:hAnsi="Calibri" w:cs="Calibri"/>
                <w:color w:val="000000"/>
              </w:rPr>
              <w:t>onbeperkte rechten van toegang, inspectie en audit door de financiële entiteit of een daartoe aangestelde derde partij alsook door de bevoegde autoriteit, en het recht om ter plaatse kopieën van relevante documenten te maken indien deze cruciaal zijn voor de activiteiten van de derde aanbieder van ICT-diensten, waarbij de doeltreffende uitoefening van dit recht niet wordt belemmerd of beperkt door andere contractuele overeenkomsten of ander uitvoeringsbeleid</w:t>
            </w:r>
            <w:r>
              <w:rPr>
                <w:rFonts w:ascii="Calibri" w:hAnsi="Calibri" w:cs="Calibri"/>
                <w:color w:val="000000"/>
              </w:rPr>
              <w:t>;</w:t>
            </w:r>
          </w:p>
        </w:tc>
        <w:tc>
          <w:tcPr>
            <w:tcW w:w="1445" w:type="dxa"/>
          </w:tcPr>
          <w:p w14:paraId="2C016A8F" w14:textId="77777777" w:rsidR="00903FEB" w:rsidRPr="00040FF6" w:rsidRDefault="00903FEB" w:rsidP="001178B2">
            <w:pPr>
              <w:rPr>
                <w:rFonts w:ascii="Calibri" w:hAnsi="Calibri" w:cs="Calibri"/>
              </w:rPr>
            </w:pPr>
          </w:p>
        </w:tc>
        <w:tc>
          <w:tcPr>
            <w:tcW w:w="1829" w:type="dxa"/>
          </w:tcPr>
          <w:p w14:paraId="4D61C990" w14:textId="77777777" w:rsidR="00903FEB" w:rsidRPr="00040FF6" w:rsidRDefault="00903FEB" w:rsidP="001178B2">
            <w:pPr>
              <w:rPr>
                <w:rFonts w:ascii="Calibri" w:hAnsi="Calibri" w:cs="Calibri"/>
              </w:rPr>
            </w:pPr>
          </w:p>
        </w:tc>
        <w:tc>
          <w:tcPr>
            <w:tcW w:w="4188" w:type="dxa"/>
          </w:tcPr>
          <w:p w14:paraId="3B7E7C71" w14:textId="77777777" w:rsidR="00903FEB" w:rsidRPr="00040FF6" w:rsidRDefault="00903FEB" w:rsidP="001178B2">
            <w:pPr>
              <w:rPr>
                <w:rFonts w:ascii="Calibri" w:hAnsi="Calibri" w:cs="Calibri"/>
              </w:rPr>
            </w:pPr>
          </w:p>
        </w:tc>
      </w:tr>
      <w:tr w:rsidR="00903FEB" w:rsidRPr="00040FF6" w14:paraId="48CD1B56" w14:textId="77777777" w:rsidTr="00101194">
        <w:tc>
          <w:tcPr>
            <w:tcW w:w="703" w:type="dxa"/>
          </w:tcPr>
          <w:p w14:paraId="78DD92B7" w14:textId="4A66DA44" w:rsidR="00903FEB" w:rsidRPr="00040FF6" w:rsidRDefault="001C4F7A" w:rsidP="001178B2">
            <w:pPr>
              <w:rPr>
                <w:rFonts w:ascii="Calibri" w:hAnsi="Calibri" w:cs="Calibri"/>
              </w:rPr>
            </w:pPr>
            <w:r>
              <w:rPr>
                <w:rFonts w:ascii="Calibri" w:hAnsi="Calibri" w:cs="Calibri"/>
              </w:rPr>
              <w:t>48b.</w:t>
            </w:r>
          </w:p>
        </w:tc>
        <w:tc>
          <w:tcPr>
            <w:tcW w:w="5174" w:type="dxa"/>
          </w:tcPr>
          <w:p w14:paraId="67526107" w14:textId="7C9EA164" w:rsidR="00903FEB" w:rsidRPr="00040FF6" w:rsidRDefault="007E1B1E" w:rsidP="001178B2">
            <w:pPr>
              <w:rPr>
                <w:rFonts w:ascii="Calibri" w:hAnsi="Calibri" w:cs="Calibri"/>
                <w:color w:val="000000"/>
              </w:rPr>
            </w:pPr>
            <w:r w:rsidRPr="007E1B1E">
              <w:rPr>
                <w:rFonts w:ascii="Calibri" w:hAnsi="Calibri" w:cs="Calibri"/>
                <w:color w:val="000000"/>
              </w:rPr>
              <w:t>het recht om andere garantieniveaus overeen te komen indien de rechten van andere cliënten worden aangetast;</w:t>
            </w:r>
          </w:p>
        </w:tc>
        <w:tc>
          <w:tcPr>
            <w:tcW w:w="1445" w:type="dxa"/>
          </w:tcPr>
          <w:p w14:paraId="5E612EC5" w14:textId="77777777" w:rsidR="00903FEB" w:rsidRPr="00040FF6" w:rsidRDefault="00903FEB" w:rsidP="001178B2">
            <w:pPr>
              <w:rPr>
                <w:rFonts w:ascii="Calibri" w:hAnsi="Calibri" w:cs="Calibri"/>
              </w:rPr>
            </w:pPr>
          </w:p>
        </w:tc>
        <w:tc>
          <w:tcPr>
            <w:tcW w:w="1829" w:type="dxa"/>
          </w:tcPr>
          <w:p w14:paraId="514C249D" w14:textId="77777777" w:rsidR="00903FEB" w:rsidRPr="00040FF6" w:rsidRDefault="00903FEB" w:rsidP="001178B2">
            <w:pPr>
              <w:rPr>
                <w:rFonts w:ascii="Calibri" w:hAnsi="Calibri" w:cs="Calibri"/>
              </w:rPr>
            </w:pPr>
          </w:p>
        </w:tc>
        <w:tc>
          <w:tcPr>
            <w:tcW w:w="4188" w:type="dxa"/>
          </w:tcPr>
          <w:p w14:paraId="71258E32" w14:textId="77777777" w:rsidR="00903FEB" w:rsidRPr="00040FF6" w:rsidRDefault="00903FEB" w:rsidP="001178B2">
            <w:pPr>
              <w:rPr>
                <w:rFonts w:ascii="Calibri" w:hAnsi="Calibri" w:cs="Calibri"/>
              </w:rPr>
            </w:pPr>
          </w:p>
        </w:tc>
      </w:tr>
      <w:tr w:rsidR="001C4F7A" w:rsidRPr="00040FF6" w14:paraId="0BD5D071" w14:textId="77777777" w:rsidTr="00101194">
        <w:tc>
          <w:tcPr>
            <w:tcW w:w="703" w:type="dxa"/>
          </w:tcPr>
          <w:p w14:paraId="7BA1B744" w14:textId="22764F50" w:rsidR="001C4F7A" w:rsidRPr="00040FF6" w:rsidRDefault="007E1B1E" w:rsidP="001178B2">
            <w:pPr>
              <w:rPr>
                <w:rFonts w:ascii="Calibri" w:hAnsi="Calibri" w:cs="Calibri"/>
              </w:rPr>
            </w:pPr>
            <w:r>
              <w:rPr>
                <w:rFonts w:ascii="Calibri" w:hAnsi="Calibri" w:cs="Calibri"/>
              </w:rPr>
              <w:t>48c.</w:t>
            </w:r>
          </w:p>
        </w:tc>
        <w:tc>
          <w:tcPr>
            <w:tcW w:w="5174" w:type="dxa"/>
          </w:tcPr>
          <w:p w14:paraId="06009AAD" w14:textId="601DB29C" w:rsidR="001C4F7A" w:rsidRPr="00040FF6" w:rsidRDefault="006309AD" w:rsidP="006309AD">
            <w:pPr>
              <w:rPr>
                <w:rFonts w:ascii="Calibri" w:hAnsi="Calibri" w:cs="Calibri"/>
                <w:color w:val="000000"/>
              </w:rPr>
            </w:pPr>
            <w:r w:rsidRPr="006309AD">
              <w:rPr>
                <w:rFonts w:ascii="Calibri" w:hAnsi="Calibri" w:cs="Calibri"/>
                <w:color w:val="000000"/>
              </w:rPr>
              <w:t xml:space="preserve">de verplichting van de derde aanbieder van ICT-diensten om tijdens de door de bevoegde autoriteiten, de lead </w:t>
            </w:r>
            <w:proofErr w:type="spellStart"/>
            <w:r w:rsidRPr="006309AD">
              <w:rPr>
                <w:rFonts w:ascii="Calibri" w:hAnsi="Calibri" w:cs="Calibri"/>
                <w:color w:val="000000"/>
              </w:rPr>
              <w:t>overseer</w:t>
            </w:r>
            <w:proofErr w:type="spellEnd"/>
            <w:r w:rsidRPr="006309AD">
              <w:rPr>
                <w:rFonts w:ascii="Calibri" w:hAnsi="Calibri" w:cs="Calibri"/>
                <w:color w:val="000000"/>
              </w:rPr>
              <w:t>, de financiële entiteit of een aangestelde derde partij ter plaatse uitgevoerde inspecties en audits volledig mee te werken</w:t>
            </w:r>
            <w:r>
              <w:rPr>
                <w:rFonts w:ascii="Calibri" w:hAnsi="Calibri" w:cs="Calibri"/>
                <w:color w:val="000000"/>
              </w:rPr>
              <w:t xml:space="preserve">; </w:t>
            </w:r>
            <w:r w:rsidRPr="006309AD">
              <w:rPr>
                <w:rFonts w:ascii="Calibri" w:hAnsi="Calibri" w:cs="Calibri"/>
                <w:color w:val="000000"/>
              </w:rPr>
              <w:t>en</w:t>
            </w:r>
          </w:p>
        </w:tc>
        <w:tc>
          <w:tcPr>
            <w:tcW w:w="1445" w:type="dxa"/>
          </w:tcPr>
          <w:p w14:paraId="603A92C5" w14:textId="77777777" w:rsidR="001C4F7A" w:rsidRPr="00040FF6" w:rsidRDefault="001C4F7A" w:rsidP="001178B2">
            <w:pPr>
              <w:rPr>
                <w:rFonts w:ascii="Calibri" w:hAnsi="Calibri" w:cs="Calibri"/>
              </w:rPr>
            </w:pPr>
          </w:p>
        </w:tc>
        <w:tc>
          <w:tcPr>
            <w:tcW w:w="1829" w:type="dxa"/>
          </w:tcPr>
          <w:p w14:paraId="421D8B0C" w14:textId="77777777" w:rsidR="001C4F7A" w:rsidRPr="00040FF6" w:rsidRDefault="001C4F7A" w:rsidP="001178B2">
            <w:pPr>
              <w:rPr>
                <w:rFonts w:ascii="Calibri" w:hAnsi="Calibri" w:cs="Calibri"/>
              </w:rPr>
            </w:pPr>
          </w:p>
        </w:tc>
        <w:tc>
          <w:tcPr>
            <w:tcW w:w="4188" w:type="dxa"/>
          </w:tcPr>
          <w:p w14:paraId="026C3264" w14:textId="77777777" w:rsidR="001C4F7A" w:rsidRPr="00040FF6" w:rsidRDefault="001C4F7A" w:rsidP="001178B2">
            <w:pPr>
              <w:rPr>
                <w:rFonts w:ascii="Calibri" w:hAnsi="Calibri" w:cs="Calibri"/>
              </w:rPr>
            </w:pPr>
          </w:p>
        </w:tc>
      </w:tr>
      <w:tr w:rsidR="001C4F7A" w:rsidRPr="00040FF6" w14:paraId="5598BC81" w14:textId="77777777" w:rsidTr="00101194">
        <w:tc>
          <w:tcPr>
            <w:tcW w:w="703" w:type="dxa"/>
          </w:tcPr>
          <w:p w14:paraId="2E071F82" w14:textId="2D3811B8" w:rsidR="001C4F7A" w:rsidRPr="00040FF6" w:rsidRDefault="006309AD" w:rsidP="001178B2">
            <w:pPr>
              <w:rPr>
                <w:rFonts w:ascii="Calibri" w:hAnsi="Calibri" w:cs="Calibri"/>
              </w:rPr>
            </w:pPr>
            <w:r>
              <w:rPr>
                <w:rFonts w:ascii="Calibri" w:hAnsi="Calibri" w:cs="Calibri"/>
              </w:rPr>
              <w:t>48d.</w:t>
            </w:r>
          </w:p>
        </w:tc>
        <w:tc>
          <w:tcPr>
            <w:tcW w:w="5174" w:type="dxa"/>
          </w:tcPr>
          <w:p w14:paraId="625087CE" w14:textId="62CB8CAD" w:rsidR="001C4F7A" w:rsidRPr="00040FF6" w:rsidRDefault="006309AD" w:rsidP="001178B2">
            <w:pPr>
              <w:rPr>
                <w:rFonts w:ascii="Calibri" w:hAnsi="Calibri" w:cs="Calibri"/>
                <w:color w:val="000000"/>
              </w:rPr>
            </w:pPr>
            <w:r w:rsidRPr="006309AD">
              <w:rPr>
                <w:rFonts w:ascii="Calibri" w:hAnsi="Calibri" w:cs="Calibri"/>
                <w:color w:val="000000"/>
              </w:rPr>
              <w:t>de verplichting om bijzonderheden te verschaffen over het toepassingsgebied, te volgen procedures en de frequentie van dergelijke inspecties en audits</w:t>
            </w:r>
            <w:r>
              <w:rPr>
                <w:rFonts w:ascii="Calibri" w:hAnsi="Calibri" w:cs="Calibri"/>
                <w:color w:val="000000"/>
              </w:rPr>
              <w:t>.</w:t>
            </w:r>
          </w:p>
        </w:tc>
        <w:tc>
          <w:tcPr>
            <w:tcW w:w="1445" w:type="dxa"/>
          </w:tcPr>
          <w:p w14:paraId="4676D1E9" w14:textId="77777777" w:rsidR="001C4F7A" w:rsidRPr="00040FF6" w:rsidRDefault="001C4F7A" w:rsidP="001178B2">
            <w:pPr>
              <w:rPr>
                <w:rFonts w:ascii="Calibri" w:hAnsi="Calibri" w:cs="Calibri"/>
              </w:rPr>
            </w:pPr>
          </w:p>
        </w:tc>
        <w:tc>
          <w:tcPr>
            <w:tcW w:w="1829" w:type="dxa"/>
          </w:tcPr>
          <w:p w14:paraId="575FBCF2" w14:textId="77777777" w:rsidR="001C4F7A" w:rsidRPr="00040FF6" w:rsidRDefault="001C4F7A" w:rsidP="001178B2">
            <w:pPr>
              <w:rPr>
                <w:rFonts w:ascii="Calibri" w:hAnsi="Calibri" w:cs="Calibri"/>
              </w:rPr>
            </w:pPr>
          </w:p>
        </w:tc>
        <w:tc>
          <w:tcPr>
            <w:tcW w:w="4188" w:type="dxa"/>
          </w:tcPr>
          <w:p w14:paraId="0EE07FEF" w14:textId="77777777" w:rsidR="001C4F7A" w:rsidRPr="00040FF6" w:rsidRDefault="001C4F7A" w:rsidP="001178B2">
            <w:pPr>
              <w:rPr>
                <w:rFonts w:ascii="Calibri" w:hAnsi="Calibri" w:cs="Calibri"/>
              </w:rPr>
            </w:pPr>
          </w:p>
        </w:tc>
      </w:tr>
      <w:tr w:rsidR="001C4F7A" w:rsidRPr="00040FF6" w14:paraId="6F1B5338" w14:textId="77777777" w:rsidTr="00101194">
        <w:tc>
          <w:tcPr>
            <w:tcW w:w="703" w:type="dxa"/>
          </w:tcPr>
          <w:p w14:paraId="54E1C45E" w14:textId="49CF8E81" w:rsidR="001C4F7A" w:rsidRPr="00040FF6" w:rsidRDefault="006309AD" w:rsidP="001178B2">
            <w:pPr>
              <w:rPr>
                <w:rFonts w:ascii="Calibri" w:hAnsi="Calibri" w:cs="Calibri"/>
              </w:rPr>
            </w:pPr>
            <w:r>
              <w:rPr>
                <w:rFonts w:ascii="Calibri" w:hAnsi="Calibri" w:cs="Calibri"/>
              </w:rPr>
              <w:t>49.</w:t>
            </w:r>
          </w:p>
        </w:tc>
        <w:tc>
          <w:tcPr>
            <w:tcW w:w="5174" w:type="dxa"/>
          </w:tcPr>
          <w:p w14:paraId="7437232A" w14:textId="66CA285E" w:rsidR="001C4F7A" w:rsidRPr="00040FF6" w:rsidRDefault="009C0553" w:rsidP="001178B2">
            <w:pPr>
              <w:rPr>
                <w:rFonts w:ascii="Calibri" w:hAnsi="Calibri" w:cs="Calibri"/>
                <w:color w:val="000000"/>
              </w:rPr>
            </w:pPr>
            <w:proofErr w:type="spellStart"/>
            <w:r w:rsidRPr="009C0553">
              <w:rPr>
                <w:rFonts w:ascii="Calibri" w:hAnsi="Calibri" w:cs="Calibri"/>
                <w:color w:val="000000"/>
              </w:rPr>
              <w:t>exitstrategieën</w:t>
            </w:r>
            <w:proofErr w:type="spellEnd"/>
            <w:r w:rsidRPr="009C0553">
              <w:rPr>
                <w:rFonts w:ascii="Calibri" w:hAnsi="Calibri" w:cs="Calibri"/>
                <w:color w:val="000000"/>
              </w:rPr>
              <w:t>, met name de invoering van een verplichte passende overgangsperiode:</w:t>
            </w:r>
          </w:p>
        </w:tc>
        <w:tc>
          <w:tcPr>
            <w:tcW w:w="1445" w:type="dxa"/>
          </w:tcPr>
          <w:p w14:paraId="024CEB03" w14:textId="77777777" w:rsidR="001C4F7A" w:rsidRPr="00040FF6" w:rsidRDefault="001C4F7A" w:rsidP="001178B2">
            <w:pPr>
              <w:rPr>
                <w:rFonts w:ascii="Calibri" w:hAnsi="Calibri" w:cs="Calibri"/>
              </w:rPr>
            </w:pPr>
          </w:p>
        </w:tc>
        <w:tc>
          <w:tcPr>
            <w:tcW w:w="1829" w:type="dxa"/>
          </w:tcPr>
          <w:p w14:paraId="5BE0832B" w14:textId="77777777" w:rsidR="001C4F7A" w:rsidRPr="00040FF6" w:rsidRDefault="001C4F7A" w:rsidP="001178B2">
            <w:pPr>
              <w:rPr>
                <w:rFonts w:ascii="Calibri" w:hAnsi="Calibri" w:cs="Calibri"/>
              </w:rPr>
            </w:pPr>
          </w:p>
        </w:tc>
        <w:tc>
          <w:tcPr>
            <w:tcW w:w="4188" w:type="dxa"/>
          </w:tcPr>
          <w:p w14:paraId="4F14E17D" w14:textId="77777777" w:rsidR="001C4F7A" w:rsidRPr="00040FF6" w:rsidRDefault="001C4F7A" w:rsidP="001178B2">
            <w:pPr>
              <w:rPr>
                <w:rFonts w:ascii="Calibri" w:hAnsi="Calibri" w:cs="Calibri"/>
              </w:rPr>
            </w:pPr>
          </w:p>
        </w:tc>
      </w:tr>
      <w:tr w:rsidR="001C4F7A" w:rsidRPr="00040FF6" w14:paraId="7AC744A2" w14:textId="77777777" w:rsidTr="00101194">
        <w:tc>
          <w:tcPr>
            <w:tcW w:w="703" w:type="dxa"/>
          </w:tcPr>
          <w:p w14:paraId="16CD7DA8" w14:textId="04887E04" w:rsidR="001C4F7A" w:rsidRPr="00040FF6" w:rsidRDefault="009C0553" w:rsidP="001178B2">
            <w:pPr>
              <w:rPr>
                <w:rFonts w:ascii="Calibri" w:hAnsi="Calibri" w:cs="Calibri"/>
              </w:rPr>
            </w:pPr>
            <w:r>
              <w:rPr>
                <w:rFonts w:ascii="Calibri" w:hAnsi="Calibri" w:cs="Calibri"/>
              </w:rPr>
              <w:t>49a.</w:t>
            </w:r>
          </w:p>
        </w:tc>
        <w:tc>
          <w:tcPr>
            <w:tcW w:w="5174" w:type="dxa"/>
          </w:tcPr>
          <w:p w14:paraId="645A665A" w14:textId="07F66C2B" w:rsidR="001C4F7A" w:rsidRPr="00040FF6" w:rsidRDefault="00874310" w:rsidP="001178B2">
            <w:pPr>
              <w:rPr>
                <w:rFonts w:ascii="Calibri" w:hAnsi="Calibri" w:cs="Calibri"/>
                <w:color w:val="000000"/>
              </w:rPr>
            </w:pPr>
            <w:r w:rsidRPr="00874310">
              <w:rPr>
                <w:rFonts w:ascii="Calibri" w:hAnsi="Calibri" w:cs="Calibri"/>
                <w:color w:val="000000"/>
              </w:rPr>
              <w:t xml:space="preserve">waarin de derde aanbieder van ICT-diensten de levering van de respectieve functies of ICT-diensten zal blijven voortzetten, teneinde het risico op verstoring </w:t>
            </w:r>
            <w:r w:rsidRPr="00874310">
              <w:rPr>
                <w:rFonts w:ascii="Calibri" w:hAnsi="Calibri" w:cs="Calibri"/>
                <w:color w:val="000000"/>
              </w:rPr>
              <w:lastRenderedPageBreak/>
              <w:t>bij de financiële entiteit te beperken of voor een doeltreffende afwikkeling en herstructurering te zorgen;</w:t>
            </w:r>
          </w:p>
        </w:tc>
        <w:tc>
          <w:tcPr>
            <w:tcW w:w="1445" w:type="dxa"/>
          </w:tcPr>
          <w:p w14:paraId="7B15801B" w14:textId="77777777" w:rsidR="001C4F7A" w:rsidRPr="00040FF6" w:rsidRDefault="001C4F7A" w:rsidP="001178B2">
            <w:pPr>
              <w:rPr>
                <w:rFonts w:ascii="Calibri" w:hAnsi="Calibri" w:cs="Calibri"/>
              </w:rPr>
            </w:pPr>
          </w:p>
        </w:tc>
        <w:tc>
          <w:tcPr>
            <w:tcW w:w="1829" w:type="dxa"/>
          </w:tcPr>
          <w:p w14:paraId="02E07DDB" w14:textId="77777777" w:rsidR="001C4F7A" w:rsidRPr="00040FF6" w:rsidRDefault="001C4F7A" w:rsidP="001178B2">
            <w:pPr>
              <w:rPr>
                <w:rFonts w:ascii="Calibri" w:hAnsi="Calibri" w:cs="Calibri"/>
              </w:rPr>
            </w:pPr>
          </w:p>
        </w:tc>
        <w:tc>
          <w:tcPr>
            <w:tcW w:w="4188" w:type="dxa"/>
          </w:tcPr>
          <w:p w14:paraId="7948D95A" w14:textId="77777777" w:rsidR="001C4F7A" w:rsidRPr="00040FF6" w:rsidRDefault="001C4F7A" w:rsidP="001178B2">
            <w:pPr>
              <w:rPr>
                <w:rFonts w:ascii="Calibri" w:hAnsi="Calibri" w:cs="Calibri"/>
              </w:rPr>
            </w:pPr>
          </w:p>
        </w:tc>
      </w:tr>
      <w:tr w:rsidR="001C4F7A" w:rsidRPr="00040FF6" w14:paraId="429CC4E1" w14:textId="77777777" w:rsidTr="00101194">
        <w:tc>
          <w:tcPr>
            <w:tcW w:w="703" w:type="dxa"/>
          </w:tcPr>
          <w:p w14:paraId="78A362EB" w14:textId="5E00ED16" w:rsidR="001C4F7A" w:rsidRPr="00040FF6" w:rsidRDefault="009C0553" w:rsidP="001178B2">
            <w:pPr>
              <w:rPr>
                <w:rFonts w:ascii="Calibri" w:hAnsi="Calibri" w:cs="Calibri"/>
              </w:rPr>
            </w:pPr>
            <w:r>
              <w:rPr>
                <w:rFonts w:ascii="Calibri" w:hAnsi="Calibri" w:cs="Calibri"/>
              </w:rPr>
              <w:t>49b.</w:t>
            </w:r>
          </w:p>
        </w:tc>
        <w:tc>
          <w:tcPr>
            <w:tcW w:w="5174" w:type="dxa"/>
          </w:tcPr>
          <w:p w14:paraId="2F16C25D" w14:textId="5732F8F6" w:rsidR="001C4F7A" w:rsidRPr="00040FF6" w:rsidRDefault="00874310" w:rsidP="001178B2">
            <w:pPr>
              <w:rPr>
                <w:rFonts w:ascii="Calibri" w:hAnsi="Calibri" w:cs="Calibri"/>
                <w:color w:val="000000"/>
              </w:rPr>
            </w:pPr>
            <w:r w:rsidRPr="00874310">
              <w:rPr>
                <w:rFonts w:ascii="Calibri" w:hAnsi="Calibri" w:cs="Calibri"/>
                <w:color w:val="000000"/>
              </w:rPr>
              <w:t>waarin de financiële entiteit kan overstappen naar een andere derde aanbieder van ICT-diensten of naar interne oplossingen in overeenstemming met de complexiteit van de geleverde dienst.</w:t>
            </w:r>
          </w:p>
        </w:tc>
        <w:tc>
          <w:tcPr>
            <w:tcW w:w="1445" w:type="dxa"/>
          </w:tcPr>
          <w:p w14:paraId="172B4055" w14:textId="77777777" w:rsidR="001C4F7A" w:rsidRPr="00040FF6" w:rsidRDefault="001C4F7A" w:rsidP="001178B2">
            <w:pPr>
              <w:rPr>
                <w:rFonts w:ascii="Calibri" w:hAnsi="Calibri" w:cs="Calibri"/>
              </w:rPr>
            </w:pPr>
          </w:p>
        </w:tc>
        <w:tc>
          <w:tcPr>
            <w:tcW w:w="1829" w:type="dxa"/>
          </w:tcPr>
          <w:p w14:paraId="714FA87C" w14:textId="77777777" w:rsidR="001C4F7A" w:rsidRPr="00040FF6" w:rsidRDefault="001C4F7A" w:rsidP="001178B2">
            <w:pPr>
              <w:rPr>
                <w:rFonts w:ascii="Calibri" w:hAnsi="Calibri" w:cs="Calibri"/>
              </w:rPr>
            </w:pPr>
          </w:p>
        </w:tc>
        <w:tc>
          <w:tcPr>
            <w:tcW w:w="4188" w:type="dxa"/>
          </w:tcPr>
          <w:p w14:paraId="17FF9250" w14:textId="77777777" w:rsidR="001C4F7A" w:rsidRPr="00040FF6" w:rsidRDefault="001C4F7A" w:rsidP="001178B2">
            <w:pPr>
              <w:rPr>
                <w:rFonts w:ascii="Calibri" w:hAnsi="Calibri" w:cs="Calibri"/>
              </w:rPr>
            </w:pPr>
          </w:p>
        </w:tc>
      </w:tr>
    </w:tbl>
    <w:p w14:paraId="2521B386" w14:textId="77777777" w:rsidR="000D1517" w:rsidRPr="00040FF6" w:rsidRDefault="000D1517" w:rsidP="00D70666">
      <w:pPr>
        <w:pStyle w:val="Normaalweb"/>
        <w:spacing w:before="0" w:beforeAutospacing="0" w:after="225" w:afterAutospacing="0"/>
        <w:rPr>
          <w:rFonts w:ascii="Calibri" w:hAnsi="Calibri" w:cs="Calibri"/>
          <w:color w:val="000000"/>
        </w:rPr>
      </w:pPr>
    </w:p>
    <w:sectPr w:rsidR="000D1517" w:rsidRPr="00040FF6" w:rsidSect="00295056">
      <w:headerReference w:type="default" r:id="rId15"/>
      <w:footerReference w:type="default" r:id="rId16"/>
      <w:headerReference w:type="first" r:id="rId17"/>
      <w:footerReference w:type="first" r:id="rId18"/>
      <w:pgSz w:w="16840" w:h="11900" w:orient="landscape"/>
      <w:pgMar w:top="1134" w:right="2357" w:bottom="1134" w:left="1134" w:header="845"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21B4" w14:textId="77777777" w:rsidR="0040030B" w:rsidRDefault="0040030B" w:rsidP="009D41F5">
      <w:pPr>
        <w:spacing w:after="0" w:line="240" w:lineRule="auto"/>
      </w:pPr>
      <w:r>
        <w:separator/>
      </w:r>
    </w:p>
  </w:endnote>
  <w:endnote w:type="continuationSeparator" w:id="0">
    <w:p w14:paraId="25D5A5F8" w14:textId="77777777" w:rsidR="0040030B" w:rsidRDefault="0040030B" w:rsidP="009D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1992" w14:textId="77777777" w:rsidR="00124625" w:rsidRDefault="00124625" w:rsidP="00124625">
    <w:pPr>
      <w:pStyle w:val="Voettekst"/>
      <w:rPr>
        <w:color w:val="808080" w:themeColor="background1" w:themeShade="80"/>
        <w:sz w:val="20"/>
        <w:szCs w:val="20"/>
      </w:rPr>
    </w:pPr>
  </w:p>
  <w:p w14:paraId="3CE3BA5C" w14:textId="77777777" w:rsidR="005B4D5F" w:rsidRPr="00781738" w:rsidRDefault="005B4D5F" w:rsidP="005B4D5F">
    <w:pPr>
      <w:pStyle w:val="Voettekst"/>
      <w:ind w:right="360"/>
      <w:rPr>
        <w:color w:val="808080" w:themeColor="background1" w:themeShade="80"/>
        <w:sz w:val="14"/>
        <w:szCs w:val="14"/>
      </w:rPr>
    </w:pPr>
  </w:p>
  <w:sdt>
    <w:sdtPr>
      <w:rPr>
        <w:rStyle w:val="Paginanummer"/>
        <w:sz w:val="14"/>
        <w:szCs w:val="14"/>
      </w:rPr>
      <w:id w:val="-1240938489"/>
      <w:docPartObj>
        <w:docPartGallery w:val="Page Numbers (Bottom of Page)"/>
        <w:docPartUnique/>
      </w:docPartObj>
    </w:sdtPr>
    <w:sdtEndPr>
      <w:rPr>
        <w:rStyle w:val="Paginanummer"/>
      </w:rPr>
    </w:sdtEndPr>
    <w:sdtContent>
      <w:p w14:paraId="07712169" w14:textId="77777777" w:rsidR="005B4D5F" w:rsidRPr="00781738" w:rsidRDefault="005B4D5F" w:rsidP="005B4D5F">
        <w:pPr>
          <w:pStyle w:val="Voettekst"/>
          <w:framePr w:h="371" w:hRule="exact" w:wrap="none" w:vAnchor="text" w:hAnchor="page" w:x="11044" w:y="195"/>
          <w:rPr>
            <w:rStyle w:val="Paginanummer"/>
            <w:sz w:val="14"/>
            <w:szCs w:val="14"/>
          </w:rPr>
        </w:pPr>
        <w:r w:rsidRPr="00781738">
          <w:rPr>
            <w:rStyle w:val="Paginanummer"/>
            <w:color w:val="767171" w:themeColor="background2" w:themeShade="80"/>
            <w:sz w:val="14"/>
            <w:szCs w:val="14"/>
          </w:rPr>
          <w:fldChar w:fldCharType="begin"/>
        </w:r>
        <w:r w:rsidRPr="00781738">
          <w:rPr>
            <w:rStyle w:val="Paginanummer"/>
            <w:color w:val="767171" w:themeColor="background2" w:themeShade="80"/>
            <w:sz w:val="14"/>
            <w:szCs w:val="14"/>
          </w:rPr>
          <w:instrText xml:space="preserve"> PAGE </w:instrText>
        </w:r>
        <w:r w:rsidRPr="00781738">
          <w:rPr>
            <w:rStyle w:val="Paginanummer"/>
            <w:color w:val="767171" w:themeColor="background2" w:themeShade="80"/>
            <w:sz w:val="14"/>
            <w:szCs w:val="14"/>
          </w:rPr>
          <w:fldChar w:fldCharType="separate"/>
        </w:r>
        <w:r>
          <w:rPr>
            <w:rStyle w:val="Paginanummer"/>
            <w:color w:val="767171" w:themeColor="background2" w:themeShade="80"/>
            <w:sz w:val="14"/>
            <w:szCs w:val="14"/>
          </w:rPr>
          <w:t>2</w:t>
        </w:r>
        <w:r w:rsidRPr="00781738">
          <w:rPr>
            <w:rStyle w:val="Paginanummer"/>
            <w:color w:val="767171" w:themeColor="background2" w:themeShade="80"/>
            <w:sz w:val="14"/>
            <w:szCs w:val="14"/>
          </w:rPr>
          <w:fldChar w:fldCharType="end"/>
        </w:r>
      </w:p>
    </w:sdtContent>
  </w:sdt>
  <w:p w14:paraId="7C9B316E" w14:textId="2C426856" w:rsidR="009D41F5" w:rsidRPr="005B4D5F" w:rsidRDefault="005B4D5F" w:rsidP="005B4D5F">
    <w:pPr>
      <w:pStyle w:val="Voettekst"/>
      <w:tabs>
        <w:tab w:val="clear" w:pos="9072"/>
        <w:tab w:val="left" w:pos="284"/>
        <w:tab w:val="right" w:pos="9632"/>
      </w:tabs>
      <w:ind w:right="-57"/>
      <w:rPr>
        <w:color w:val="808080" w:themeColor="background1" w:themeShade="80"/>
        <w:sz w:val="14"/>
        <w:szCs w:val="14"/>
      </w:rPr>
    </w:pPr>
    <w:r w:rsidRPr="00954FF6">
      <w:rPr>
        <w:noProof/>
        <w:color w:val="767171" w:themeColor="background2" w:themeShade="80"/>
        <w:sz w:val="16"/>
        <w:szCs w:val="16"/>
      </w:rPr>
      <w:drawing>
        <wp:inline distT="0" distB="0" distL="0" distR="0" wp14:anchorId="27233875" wp14:editId="0D39982E">
          <wp:extent cx="698500" cy="2032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98500" cy="203200"/>
                  </a:xfrm>
                  <a:prstGeom prst="rect">
                    <a:avLst/>
                  </a:prstGeom>
                </pic:spPr>
              </pic:pic>
            </a:graphicData>
          </a:graphic>
        </wp:inline>
      </w:drawing>
    </w:r>
    <w:r w:rsidRPr="00781738">
      <w:rPr>
        <w:color w:val="808080" w:themeColor="background1" w:themeShade="80"/>
        <w:sz w:val="14"/>
        <w:szCs w:val="14"/>
      </w:rPr>
      <w:tab/>
      <w:t xml:space="preserve">                                  </w:t>
    </w:r>
    <w:r w:rsidR="00FB521A">
      <w:rPr>
        <w:color w:val="808080" w:themeColor="background1" w:themeShade="80"/>
        <w:sz w:val="14"/>
        <w:szCs w:val="14"/>
      </w:rPr>
      <w:t xml:space="preserve">Checklist </w:t>
    </w:r>
    <w:r w:rsidR="0014770C">
      <w:rPr>
        <w:color w:val="808080" w:themeColor="background1" w:themeShade="80"/>
        <w:sz w:val="14"/>
        <w:szCs w:val="14"/>
      </w:rPr>
      <w:t xml:space="preserve">IT- en </w:t>
    </w:r>
    <w:r w:rsidR="000C5F6E">
      <w:rPr>
        <w:color w:val="808080" w:themeColor="background1" w:themeShade="80"/>
        <w:sz w:val="14"/>
        <w:szCs w:val="14"/>
      </w:rPr>
      <w:t>uitbestedingscontracten</w:t>
    </w:r>
    <w:r w:rsidR="00203B7D">
      <w:rPr>
        <w:color w:val="808080" w:themeColor="background1" w:themeShade="80"/>
        <w:sz w:val="16"/>
        <w:szCs w:val="16"/>
      </w:rPr>
      <w:tab/>
    </w:r>
    <w:r w:rsidR="00203B7D" w:rsidRPr="00AB3A7E">
      <w:rPr>
        <w:color w:val="808080" w:themeColor="background1" w:themeShade="8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E68F" w14:textId="616AFAA7" w:rsidR="00124625" w:rsidRPr="00954FF6" w:rsidRDefault="00AB3A7E" w:rsidP="00AB3A7E">
    <w:pPr>
      <w:pStyle w:val="Voettekst"/>
      <w:tabs>
        <w:tab w:val="clear" w:pos="9072"/>
        <w:tab w:val="left" w:pos="284"/>
        <w:tab w:val="right" w:pos="9632"/>
      </w:tabs>
      <w:ind w:right="-7"/>
      <w:rPr>
        <w:color w:val="767171" w:themeColor="background2" w:themeShade="80"/>
        <w:sz w:val="16"/>
        <w:szCs w:val="16"/>
      </w:rPr>
    </w:pPr>
    <w:r w:rsidRPr="00954FF6">
      <w:rPr>
        <w:noProof/>
        <w:color w:val="767171" w:themeColor="background2" w:themeShade="80"/>
        <w:sz w:val="16"/>
        <w:szCs w:val="16"/>
      </w:rPr>
      <w:drawing>
        <wp:inline distT="0" distB="0" distL="0" distR="0" wp14:anchorId="17ACDF8A" wp14:editId="03956003">
          <wp:extent cx="698500" cy="203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98500" cy="203200"/>
                  </a:xfrm>
                  <a:prstGeom prst="rect">
                    <a:avLst/>
                  </a:prstGeom>
                </pic:spPr>
              </pic:pic>
            </a:graphicData>
          </a:graphic>
        </wp:inline>
      </w:drawing>
    </w:r>
    <w:r w:rsidRPr="00954FF6">
      <w:rPr>
        <w:color w:val="767171" w:themeColor="background2" w:themeShade="80"/>
        <w:sz w:val="16"/>
        <w:szCs w:val="16"/>
      </w:rPr>
      <w:tab/>
    </w:r>
    <w:r w:rsidRPr="00954FF6">
      <w:rPr>
        <w:color w:val="767171" w:themeColor="background2" w:themeShade="80"/>
        <w:sz w:val="14"/>
        <w:szCs w:val="14"/>
      </w:rPr>
      <w:t xml:space="preserve">                                  </w:t>
    </w:r>
    <w:r w:rsidR="00394B2A">
      <w:rPr>
        <w:color w:val="808080" w:themeColor="background1" w:themeShade="80"/>
        <w:sz w:val="14"/>
        <w:szCs w:val="14"/>
      </w:rPr>
      <w:t xml:space="preserve">Checklist </w:t>
    </w:r>
    <w:r w:rsidR="0014770C">
      <w:rPr>
        <w:color w:val="808080" w:themeColor="background1" w:themeShade="80"/>
        <w:sz w:val="14"/>
        <w:szCs w:val="14"/>
      </w:rPr>
      <w:t xml:space="preserve">IT- en </w:t>
    </w:r>
    <w:r w:rsidR="000C5F6E">
      <w:rPr>
        <w:color w:val="808080" w:themeColor="background1" w:themeShade="80"/>
        <w:sz w:val="14"/>
        <w:szCs w:val="14"/>
      </w:rPr>
      <w:t>uitbestedingscontracten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6DE8" w14:textId="77777777" w:rsidR="0040030B" w:rsidRDefault="0040030B" w:rsidP="009D41F5">
      <w:pPr>
        <w:spacing w:after="0" w:line="240" w:lineRule="auto"/>
      </w:pPr>
      <w:r>
        <w:separator/>
      </w:r>
    </w:p>
  </w:footnote>
  <w:footnote w:type="continuationSeparator" w:id="0">
    <w:p w14:paraId="2C1F3726" w14:textId="77777777" w:rsidR="0040030B" w:rsidRDefault="0040030B" w:rsidP="009D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AF5C" w14:textId="48A40211" w:rsidR="009D41F5" w:rsidRDefault="00767CE9" w:rsidP="000C584A">
    <w:pPr>
      <w:pStyle w:val="Koptekst"/>
    </w:pPr>
    <w:r>
      <w:rPr>
        <w:noProof/>
      </w:rPr>
      <w:drawing>
        <wp:inline distT="0" distB="0" distL="0" distR="0" wp14:anchorId="2837BB05" wp14:editId="499B74CE">
          <wp:extent cx="995881" cy="39837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68174" cy="4272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EF" w14:textId="658AF6D0" w:rsidR="00257882" w:rsidRPr="009435DE" w:rsidRDefault="009435DE" w:rsidP="009435DE">
    <w:pPr>
      <w:pStyle w:val="Koptekst"/>
      <w:rPr>
        <w:sz w:val="16"/>
        <w:szCs w:val="16"/>
      </w:rPr>
    </w:pPr>
    <w:r>
      <w:rPr>
        <w:noProof/>
        <w:sz w:val="16"/>
        <w:szCs w:val="16"/>
      </w:rPr>
      <w:drawing>
        <wp:inline distT="0" distB="0" distL="0" distR="0" wp14:anchorId="1F2B650D" wp14:editId="00A3192E">
          <wp:extent cx="1740358" cy="86234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740358" cy="86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E2088"/>
    <w:lvl w:ilvl="0">
      <w:start w:val="1"/>
      <w:numFmt w:val="bullet"/>
      <w:pStyle w:val="Lijstopsomteken"/>
      <w:lvlText w:val=""/>
      <w:lvlJc w:val="left"/>
      <w:pPr>
        <w:tabs>
          <w:tab w:val="num" w:pos="360"/>
        </w:tabs>
        <w:ind w:left="360" w:hanging="360"/>
      </w:pPr>
      <w:rPr>
        <w:rFonts w:ascii="Symbol" w:hAnsi="Symbol" w:hint="default"/>
      </w:rPr>
    </w:lvl>
  </w:abstractNum>
  <w:num w:numId="1" w16cid:durableId="192441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8A"/>
    <w:rsid w:val="00003CF1"/>
    <w:rsid w:val="000045AA"/>
    <w:rsid w:val="00040FF6"/>
    <w:rsid w:val="000440DE"/>
    <w:rsid w:val="00044491"/>
    <w:rsid w:val="000A1167"/>
    <w:rsid w:val="000A63A5"/>
    <w:rsid w:val="000A6C7B"/>
    <w:rsid w:val="000C584A"/>
    <w:rsid w:val="000C5F6E"/>
    <w:rsid w:val="000C7F98"/>
    <w:rsid w:val="000D1517"/>
    <w:rsid w:val="000F6250"/>
    <w:rsid w:val="00101194"/>
    <w:rsid w:val="00105813"/>
    <w:rsid w:val="001178B2"/>
    <w:rsid w:val="00121CB4"/>
    <w:rsid w:val="00123759"/>
    <w:rsid w:val="00124625"/>
    <w:rsid w:val="00142B7B"/>
    <w:rsid w:val="00145EC8"/>
    <w:rsid w:val="0014770C"/>
    <w:rsid w:val="00157B2F"/>
    <w:rsid w:val="0017107B"/>
    <w:rsid w:val="00171649"/>
    <w:rsid w:val="00175453"/>
    <w:rsid w:val="00176583"/>
    <w:rsid w:val="00181C0B"/>
    <w:rsid w:val="001822C8"/>
    <w:rsid w:val="00186DE1"/>
    <w:rsid w:val="00193880"/>
    <w:rsid w:val="0019724D"/>
    <w:rsid w:val="001C4F7A"/>
    <w:rsid w:val="001C5388"/>
    <w:rsid w:val="001E093E"/>
    <w:rsid w:val="001F0A7E"/>
    <w:rsid w:val="001F60E3"/>
    <w:rsid w:val="001F6F7B"/>
    <w:rsid w:val="00203B7D"/>
    <w:rsid w:val="0020688A"/>
    <w:rsid w:val="00220EA9"/>
    <w:rsid w:val="002216BC"/>
    <w:rsid w:val="00257882"/>
    <w:rsid w:val="002734AD"/>
    <w:rsid w:val="002804C6"/>
    <w:rsid w:val="00295056"/>
    <w:rsid w:val="002957D0"/>
    <w:rsid w:val="002963A8"/>
    <w:rsid w:val="002B0462"/>
    <w:rsid w:val="002C3A33"/>
    <w:rsid w:val="002E09F0"/>
    <w:rsid w:val="002E1325"/>
    <w:rsid w:val="002E3696"/>
    <w:rsid w:val="002E4AE2"/>
    <w:rsid w:val="002E7211"/>
    <w:rsid w:val="002F192C"/>
    <w:rsid w:val="002F20EE"/>
    <w:rsid w:val="002F3142"/>
    <w:rsid w:val="002F32D5"/>
    <w:rsid w:val="002F6092"/>
    <w:rsid w:val="00307A74"/>
    <w:rsid w:val="0031391D"/>
    <w:rsid w:val="00322383"/>
    <w:rsid w:val="003430DC"/>
    <w:rsid w:val="00351D26"/>
    <w:rsid w:val="00352C93"/>
    <w:rsid w:val="00355325"/>
    <w:rsid w:val="00357EEF"/>
    <w:rsid w:val="003614B1"/>
    <w:rsid w:val="003645A6"/>
    <w:rsid w:val="00394B2A"/>
    <w:rsid w:val="003A70B0"/>
    <w:rsid w:val="003B6F7A"/>
    <w:rsid w:val="003D7DE4"/>
    <w:rsid w:val="003E4839"/>
    <w:rsid w:val="003E5C7D"/>
    <w:rsid w:val="003E61BA"/>
    <w:rsid w:val="003F27BA"/>
    <w:rsid w:val="003F51D7"/>
    <w:rsid w:val="0040030B"/>
    <w:rsid w:val="00402242"/>
    <w:rsid w:val="00412510"/>
    <w:rsid w:val="00422757"/>
    <w:rsid w:val="00427A21"/>
    <w:rsid w:val="00432329"/>
    <w:rsid w:val="0043317A"/>
    <w:rsid w:val="004520A4"/>
    <w:rsid w:val="0047794B"/>
    <w:rsid w:val="00491C7C"/>
    <w:rsid w:val="004A1A84"/>
    <w:rsid w:val="004A7129"/>
    <w:rsid w:val="004E50E3"/>
    <w:rsid w:val="004F3401"/>
    <w:rsid w:val="004F4626"/>
    <w:rsid w:val="00501970"/>
    <w:rsid w:val="00506909"/>
    <w:rsid w:val="00507C99"/>
    <w:rsid w:val="005115C8"/>
    <w:rsid w:val="00515957"/>
    <w:rsid w:val="005164FA"/>
    <w:rsid w:val="00517DA4"/>
    <w:rsid w:val="00523D30"/>
    <w:rsid w:val="0056464C"/>
    <w:rsid w:val="00565F94"/>
    <w:rsid w:val="00573FC5"/>
    <w:rsid w:val="00595085"/>
    <w:rsid w:val="005A2008"/>
    <w:rsid w:val="005B1138"/>
    <w:rsid w:val="005B4D5F"/>
    <w:rsid w:val="005C3F13"/>
    <w:rsid w:val="005C7626"/>
    <w:rsid w:val="005E7B51"/>
    <w:rsid w:val="0060403A"/>
    <w:rsid w:val="00604D23"/>
    <w:rsid w:val="0061144F"/>
    <w:rsid w:val="00616A3C"/>
    <w:rsid w:val="006205FC"/>
    <w:rsid w:val="006309AD"/>
    <w:rsid w:val="00636A6B"/>
    <w:rsid w:val="00641D88"/>
    <w:rsid w:val="00651A31"/>
    <w:rsid w:val="00654FDE"/>
    <w:rsid w:val="00661A55"/>
    <w:rsid w:val="00670671"/>
    <w:rsid w:val="0067172A"/>
    <w:rsid w:val="006727DA"/>
    <w:rsid w:val="006A116E"/>
    <w:rsid w:val="006A2B7B"/>
    <w:rsid w:val="006C68FA"/>
    <w:rsid w:val="006D6845"/>
    <w:rsid w:val="006F7404"/>
    <w:rsid w:val="00705C28"/>
    <w:rsid w:val="00711AB1"/>
    <w:rsid w:val="00722BA5"/>
    <w:rsid w:val="00734106"/>
    <w:rsid w:val="00734FC9"/>
    <w:rsid w:val="00735AF8"/>
    <w:rsid w:val="007376A4"/>
    <w:rsid w:val="00741B8B"/>
    <w:rsid w:val="00742509"/>
    <w:rsid w:val="00744387"/>
    <w:rsid w:val="00767CE9"/>
    <w:rsid w:val="00770051"/>
    <w:rsid w:val="00774B0D"/>
    <w:rsid w:val="007756B9"/>
    <w:rsid w:val="00782A7C"/>
    <w:rsid w:val="00785D84"/>
    <w:rsid w:val="00787AAC"/>
    <w:rsid w:val="00792A6D"/>
    <w:rsid w:val="00797964"/>
    <w:rsid w:val="007A6D33"/>
    <w:rsid w:val="007B49DE"/>
    <w:rsid w:val="007B7778"/>
    <w:rsid w:val="007C14CE"/>
    <w:rsid w:val="007C52C0"/>
    <w:rsid w:val="007C5983"/>
    <w:rsid w:val="007D2A2F"/>
    <w:rsid w:val="007E1B1E"/>
    <w:rsid w:val="007F4A54"/>
    <w:rsid w:val="00812AA6"/>
    <w:rsid w:val="00816206"/>
    <w:rsid w:val="008267D2"/>
    <w:rsid w:val="00843A6E"/>
    <w:rsid w:val="00854437"/>
    <w:rsid w:val="00874310"/>
    <w:rsid w:val="00876960"/>
    <w:rsid w:val="008772E9"/>
    <w:rsid w:val="008823E9"/>
    <w:rsid w:val="008A60F2"/>
    <w:rsid w:val="008C606D"/>
    <w:rsid w:val="008D3679"/>
    <w:rsid w:val="008E4CAB"/>
    <w:rsid w:val="008F4BB7"/>
    <w:rsid w:val="0090222A"/>
    <w:rsid w:val="00903FEB"/>
    <w:rsid w:val="00913C41"/>
    <w:rsid w:val="00920645"/>
    <w:rsid w:val="0092078E"/>
    <w:rsid w:val="00924C4F"/>
    <w:rsid w:val="00927354"/>
    <w:rsid w:val="009312C5"/>
    <w:rsid w:val="009349A3"/>
    <w:rsid w:val="00935D4D"/>
    <w:rsid w:val="009435DE"/>
    <w:rsid w:val="00951C9A"/>
    <w:rsid w:val="00954FF6"/>
    <w:rsid w:val="00961121"/>
    <w:rsid w:val="0096116C"/>
    <w:rsid w:val="00965DCD"/>
    <w:rsid w:val="00991D6A"/>
    <w:rsid w:val="0099638E"/>
    <w:rsid w:val="009A44F9"/>
    <w:rsid w:val="009B4D74"/>
    <w:rsid w:val="009B4E20"/>
    <w:rsid w:val="009C0553"/>
    <w:rsid w:val="009C5231"/>
    <w:rsid w:val="009C5F99"/>
    <w:rsid w:val="009D0BFB"/>
    <w:rsid w:val="009D41F5"/>
    <w:rsid w:val="009E339D"/>
    <w:rsid w:val="009E6D9F"/>
    <w:rsid w:val="009F55E3"/>
    <w:rsid w:val="00A078A8"/>
    <w:rsid w:val="00A47474"/>
    <w:rsid w:val="00A53155"/>
    <w:rsid w:val="00A55EE3"/>
    <w:rsid w:val="00A74724"/>
    <w:rsid w:val="00A87314"/>
    <w:rsid w:val="00A93BB9"/>
    <w:rsid w:val="00A96E90"/>
    <w:rsid w:val="00AA5E8A"/>
    <w:rsid w:val="00AB026F"/>
    <w:rsid w:val="00AB3A7E"/>
    <w:rsid w:val="00AC2927"/>
    <w:rsid w:val="00AC571F"/>
    <w:rsid w:val="00AD1A0A"/>
    <w:rsid w:val="00AD61FD"/>
    <w:rsid w:val="00AF20A1"/>
    <w:rsid w:val="00B313AD"/>
    <w:rsid w:val="00B511A7"/>
    <w:rsid w:val="00B5412E"/>
    <w:rsid w:val="00B55DA0"/>
    <w:rsid w:val="00B70E38"/>
    <w:rsid w:val="00B71734"/>
    <w:rsid w:val="00B81615"/>
    <w:rsid w:val="00B85F9C"/>
    <w:rsid w:val="00B96E94"/>
    <w:rsid w:val="00BA4D85"/>
    <w:rsid w:val="00BA7747"/>
    <w:rsid w:val="00BA7790"/>
    <w:rsid w:val="00BA797F"/>
    <w:rsid w:val="00BC0EBD"/>
    <w:rsid w:val="00BC538B"/>
    <w:rsid w:val="00BD4DF5"/>
    <w:rsid w:val="00BE7435"/>
    <w:rsid w:val="00BE7B39"/>
    <w:rsid w:val="00BF3D1F"/>
    <w:rsid w:val="00C00F3F"/>
    <w:rsid w:val="00C13F0B"/>
    <w:rsid w:val="00C32A84"/>
    <w:rsid w:val="00C40344"/>
    <w:rsid w:val="00C42A80"/>
    <w:rsid w:val="00C52F79"/>
    <w:rsid w:val="00C60908"/>
    <w:rsid w:val="00C76213"/>
    <w:rsid w:val="00C77567"/>
    <w:rsid w:val="00C8257D"/>
    <w:rsid w:val="00C906A4"/>
    <w:rsid w:val="00CA727F"/>
    <w:rsid w:val="00CB2CF5"/>
    <w:rsid w:val="00CD6D03"/>
    <w:rsid w:val="00CE58FA"/>
    <w:rsid w:val="00CF05E0"/>
    <w:rsid w:val="00CF108D"/>
    <w:rsid w:val="00CF6932"/>
    <w:rsid w:val="00D244BB"/>
    <w:rsid w:val="00D321CE"/>
    <w:rsid w:val="00D53D4C"/>
    <w:rsid w:val="00D70666"/>
    <w:rsid w:val="00DD4AE6"/>
    <w:rsid w:val="00DE43FD"/>
    <w:rsid w:val="00DF7725"/>
    <w:rsid w:val="00E057D8"/>
    <w:rsid w:val="00E07897"/>
    <w:rsid w:val="00E07C57"/>
    <w:rsid w:val="00E24D1B"/>
    <w:rsid w:val="00E264B8"/>
    <w:rsid w:val="00E35FCD"/>
    <w:rsid w:val="00E623B0"/>
    <w:rsid w:val="00E6353A"/>
    <w:rsid w:val="00E64C0E"/>
    <w:rsid w:val="00E65392"/>
    <w:rsid w:val="00E67053"/>
    <w:rsid w:val="00E75378"/>
    <w:rsid w:val="00E81EE8"/>
    <w:rsid w:val="00E96CBC"/>
    <w:rsid w:val="00EB1721"/>
    <w:rsid w:val="00EB5A5D"/>
    <w:rsid w:val="00EB7945"/>
    <w:rsid w:val="00EB795D"/>
    <w:rsid w:val="00EC01B5"/>
    <w:rsid w:val="00EC2404"/>
    <w:rsid w:val="00EC3745"/>
    <w:rsid w:val="00EC3B28"/>
    <w:rsid w:val="00ED01F1"/>
    <w:rsid w:val="00ED4DAA"/>
    <w:rsid w:val="00EF38E8"/>
    <w:rsid w:val="00F457BA"/>
    <w:rsid w:val="00F565D8"/>
    <w:rsid w:val="00F66E9C"/>
    <w:rsid w:val="00F859F8"/>
    <w:rsid w:val="00F92719"/>
    <w:rsid w:val="00F97AF2"/>
    <w:rsid w:val="00FA0196"/>
    <w:rsid w:val="00FA2302"/>
    <w:rsid w:val="00FA6A5D"/>
    <w:rsid w:val="00FA7C94"/>
    <w:rsid w:val="00FB39FC"/>
    <w:rsid w:val="00FB521A"/>
    <w:rsid w:val="00FB7276"/>
    <w:rsid w:val="00FC3DE9"/>
    <w:rsid w:val="00FC4A7F"/>
    <w:rsid w:val="00FD0B08"/>
    <w:rsid w:val="00FE0781"/>
    <w:rsid w:val="00FE57DB"/>
    <w:rsid w:val="00FF7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3D52C"/>
  <w15:chartTrackingRefBased/>
  <w15:docId w15:val="{F1EB3ACB-9B56-F144-8490-EF40CD3D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A3C"/>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D41F5"/>
    <w:pPr>
      <w:tabs>
        <w:tab w:val="center" w:pos="4536"/>
        <w:tab w:val="right" w:pos="9072"/>
      </w:tabs>
    </w:pPr>
  </w:style>
  <w:style w:type="character" w:customStyle="1" w:styleId="KoptekstChar">
    <w:name w:val="Koptekst Char"/>
    <w:basedOn w:val="Standaardalinea-lettertype"/>
    <w:link w:val="Koptekst"/>
    <w:uiPriority w:val="99"/>
    <w:rsid w:val="009D41F5"/>
  </w:style>
  <w:style w:type="paragraph" w:styleId="Voettekst">
    <w:name w:val="footer"/>
    <w:basedOn w:val="Standaard"/>
    <w:link w:val="VoettekstChar"/>
    <w:uiPriority w:val="99"/>
    <w:unhideWhenUsed/>
    <w:rsid w:val="009D41F5"/>
    <w:pPr>
      <w:tabs>
        <w:tab w:val="center" w:pos="4536"/>
        <w:tab w:val="right" w:pos="9072"/>
      </w:tabs>
    </w:pPr>
  </w:style>
  <w:style w:type="character" w:customStyle="1" w:styleId="VoettekstChar">
    <w:name w:val="Voettekst Char"/>
    <w:basedOn w:val="Standaardalinea-lettertype"/>
    <w:link w:val="Voettekst"/>
    <w:uiPriority w:val="99"/>
    <w:rsid w:val="009D41F5"/>
  </w:style>
  <w:style w:type="paragraph" w:styleId="Ballontekst">
    <w:name w:val="Balloon Text"/>
    <w:basedOn w:val="Standaard"/>
    <w:link w:val="BallontekstChar"/>
    <w:uiPriority w:val="99"/>
    <w:semiHidden/>
    <w:unhideWhenUsed/>
    <w:rsid w:val="009D41F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D41F5"/>
    <w:rPr>
      <w:rFonts w:ascii="Times New Roman" w:hAnsi="Times New Roman" w:cs="Times New Roman"/>
      <w:sz w:val="18"/>
      <w:szCs w:val="18"/>
    </w:rPr>
  </w:style>
  <w:style w:type="paragraph" w:styleId="Normaalweb">
    <w:name w:val="Normal (Web)"/>
    <w:basedOn w:val="Standaard"/>
    <w:uiPriority w:val="99"/>
    <w:unhideWhenUsed/>
    <w:rsid w:val="009D41F5"/>
    <w:pPr>
      <w:spacing w:before="100" w:beforeAutospacing="1" w:after="100" w:afterAutospacing="1"/>
    </w:pPr>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5B4D5F"/>
  </w:style>
  <w:style w:type="table" w:styleId="Tabelraster">
    <w:name w:val="Table Grid"/>
    <w:basedOn w:val="Standaardtabel"/>
    <w:uiPriority w:val="39"/>
    <w:rsid w:val="005B113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uiPriority w:val="99"/>
    <w:unhideWhenUsed/>
    <w:rsid w:val="00EB1721"/>
    <w:pPr>
      <w:numPr>
        <w:numId w:val="1"/>
      </w:numPr>
      <w:contextualSpacing/>
    </w:pPr>
  </w:style>
  <w:style w:type="character" w:styleId="Hyperlink">
    <w:name w:val="Hyperlink"/>
    <w:basedOn w:val="Standaardalinea-lettertype"/>
    <w:uiPriority w:val="99"/>
    <w:unhideWhenUsed/>
    <w:rsid w:val="00770051"/>
    <w:rPr>
      <w:color w:val="6E2F7B" w:themeColor="hyperlink"/>
      <w:u w:val="single"/>
    </w:rPr>
  </w:style>
  <w:style w:type="character" w:styleId="Onopgelostemelding">
    <w:name w:val="Unresolved Mention"/>
    <w:basedOn w:val="Standaardalinea-lettertype"/>
    <w:uiPriority w:val="99"/>
    <w:semiHidden/>
    <w:unhideWhenUsed/>
    <w:rsid w:val="0077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08">
      <w:bodyDiv w:val="1"/>
      <w:marLeft w:val="0"/>
      <w:marRight w:val="0"/>
      <w:marTop w:val="0"/>
      <w:marBottom w:val="0"/>
      <w:divBdr>
        <w:top w:val="none" w:sz="0" w:space="0" w:color="auto"/>
        <w:left w:val="none" w:sz="0" w:space="0" w:color="auto"/>
        <w:bottom w:val="none" w:sz="0" w:space="0" w:color="auto"/>
        <w:right w:val="none" w:sz="0" w:space="0" w:color="auto"/>
      </w:divBdr>
    </w:div>
    <w:div w:id="36125076">
      <w:bodyDiv w:val="1"/>
      <w:marLeft w:val="0"/>
      <w:marRight w:val="0"/>
      <w:marTop w:val="0"/>
      <w:marBottom w:val="0"/>
      <w:divBdr>
        <w:top w:val="none" w:sz="0" w:space="0" w:color="auto"/>
        <w:left w:val="none" w:sz="0" w:space="0" w:color="auto"/>
        <w:bottom w:val="none" w:sz="0" w:space="0" w:color="auto"/>
        <w:right w:val="none" w:sz="0" w:space="0" w:color="auto"/>
      </w:divBdr>
    </w:div>
    <w:div w:id="146677946">
      <w:bodyDiv w:val="1"/>
      <w:marLeft w:val="0"/>
      <w:marRight w:val="0"/>
      <w:marTop w:val="0"/>
      <w:marBottom w:val="0"/>
      <w:divBdr>
        <w:top w:val="none" w:sz="0" w:space="0" w:color="auto"/>
        <w:left w:val="none" w:sz="0" w:space="0" w:color="auto"/>
        <w:bottom w:val="none" w:sz="0" w:space="0" w:color="auto"/>
        <w:right w:val="none" w:sz="0" w:space="0" w:color="auto"/>
      </w:divBdr>
    </w:div>
    <w:div w:id="369959165">
      <w:bodyDiv w:val="1"/>
      <w:marLeft w:val="0"/>
      <w:marRight w:val="0"/>
      <w:marTop w:val="0"/>
      <w:marBottom w:val="0"/>
      <w:divBdr>
        <w:top w:val="none" w:sz="0" w:space="0" w:color="auto"/>
        <w:left w:val="none" w:sz="0" w:space="0" w:color="auto"/>
        <w:bottom w:val="none" w:sz="0" w:space="0" w:color="auto"/>
        <w:right w:val="none" w:sz="0" w:space="0" w:color="auto"/>
      </w:divBdr>
    </w:div>
    <w:div w:id="398596790">
      <w:bodyDiv w:val="1"/>
      <w:marLeft w:val="0"/>
      <w:marRight w:val="0"/>
      <w:marTop w:val="0"/>
      <w:marBottom w:val="0"/>
      <w:divBdr>
        <w:top w:val="none" w:sz="0" w:space="0" w:color="auto"/>
        <w:left w:val="none" w:sz="0" w:space="0" w:color="auto"/>
        <w:bottom w:val="none" w:sz="0" w:space="0" w:color="auto"/>
        <w:right w:val="none" w:sz="0" w:space="0" w:color="auto"/>
      </w:divBdr>
    </w:div>
    <w:div w:id="472021193">
      <w:bodyDiv w:val="1"/>
      <w:marLeft w:val="0"/>
      <w:marRight w:val="0"/>
      <w:marTop w:val="0"/>
      <w:marBottom w:val="0"/>
      <w:divBdr>
        <w:top w:val="none" w:sz="0" w:space="0" w:color="auto"/>
        <w:left w:val="none" w:sz="0" w:space="0" w:color="auto"/>
        <w:bottom w:val="none" w:sz="0" w:space="0" w:color="auto"/>
        <w:right w:val="none" w:sz="0" w:space="0" w:color="auto"/>
      </w:divBdr>
    </w:div>
    <w:div w:id="504784509">
      <w:bodyDiv w:val="1"/>
      <w:marLeft w:val="0"/>
      <w:marRight w:val="0"/>
      <w:marTop w:val="0"/>
      <w:marBottom w:val="0"/>
      <w:divBdr>
        <w:top w:val="none" w:sz="0" w:space="0" w:color="auto"/>
        <w:left w:val="none" w:sz="0" w:space="0" w:color="auto"/>
        <w:bottom w:val="none" w:sz="0" w:space="0" w:color="auto"/>
        <w:right w:val="none" w:sz="0" w:space="0" w:color="auto"/>
      </w:divBdr>
    </w:div>
    <w:div w:id="520166256">
      <w:bodyDiv w:val="1"/>
      <w:marLeft w:val="0"/>
      <w:marRight w:val="0"/>
      <w:marTop w:val="0"/>
      <w:marBottom w:val="0"/>
      <w:divBdr>
        <w:top w:val="none" w:sz="0" w:space="0" w:color="auto"/>
        <w:left w:val="none" w:sz="0" w:space="0" w:color="auto"/>
        <w:bottom w:val="none" w:sz="0" w:space="0" w:color="auto"/>
        <w:right w:val="none" w:sz="0" w:space="0" w:color="auto"/>
      </w:divBdr>
    </w:div>
    <w:div w:id="556867408">
      <w:bodyDiv w:val="1"/>
      <w:marLeft w:val="0"/>
      <w:marRight w:val="0"/>
      <w:marTop w:val="0"/>
      <w:marBottom w:val="0"/>
      <w:divBdr>
        <w:top w:val="none" w:sz="0" w:space="0" w:color="auto"/>
        <w:left w:val="none" w:sz="0" w:space="0" w:color="auto"/>
        <w:bottom w:val="none" w:sz="0" w:space="0" w:color="auto"/>
        <w:right w:val="none" w:sz="0" w:space="0" w:color="auto"/>
      </w:divBdr>
    </w:div>
    <w:div w:id="626740498">
      <w:bodyDiv w:val="1"/>
      <w:marLeft w:val="0"/>
      <w:marRight w:val="0"/>
      <w:marTop w:val="0"/>
      <w:marBottom w:val="0"/>
      <w:divBdr>
        <w:top w:val="none" w:sz="0" w:space="0" w:color="auto"/>
        <w:left w:val="none" w:sz="0" w:space="0" w:color="auto"/>
        <w:bottom w:val="none" w:sz="0" w:space="0" w:color="auto"/>
        <w:right w:val="none" w:sz="0" w:space="0" w:color="auto"/>
      </w:divBdr>
    </w:div>
    <w:div w:id="636492990">
      <w:bodyDiv w:val="1"/>
      <w:marLeft w:val="0"/>
      <w:marRight w:val="0"/>
      <w:marTop w:val="0"/>
      <w:marBottom w:val="0"/>
      <w:divBdr>
        <w:top w:val="none" w:sz="0" w:space="0" w:color="auto"/>
        <w:left w:val="none" w:sz="0" w:space="0" w:color="auto"/>
        <w:bottom w:val="none" w:sz="0" w:space="0" w:color="auto"/>
        <w:right w:val="none" w:sz="0" w:space="0" w:color="auto"/>
      </w:divBdr>
    </w:div>
    <w:div w:id="662972934">
      <w:bodyDiv w:val="1"/>
      <w:marLeft w:val="0"/>
      <w:marRight w:val="0"/>
      <w:marTop w:val="0"/>
      <w:marBottom w:val="0"/>
      <w:divBdr>
        <w:top w:val="none" w:sz="0" w:space="0" w:color="auto"/>
        <w:left w:val="none" w:sz="0" w:space="0" w:color="auto"/>
        <w:bottom w:val="none" w:sz="0" w:space="0" w:color="auto"/>
        <w:right w:val="none" w:sz="0" w:space="0" w:color="auto"/>
      </w:divBdr>
    </w:div>
    <w:div w:id="717513595">
      <w:bodyDiv w:val="1"/>
      <w:marLeft w:val="0"/>
      <w:marRight w:val="0"/>
      <w:marTop w:val="0"/>
      <w:marBottom w:val="0"/>
      <w:divBdr>
        <w:top w:val="none" w:sz="0" w:space="0" w:color="auto"/>
        <w:left w:val="none" w:sz="0" w:space="0" w:color="auto"/>
        <w:bottom w:val="none" w:sz="0" w:space="0" w:color="auto"/>
        <w:right w:val="none" w:sz="0" w:space="0" w:color="auto"/>
      </w:divBdr>
    </w:div>
    <w:div w:id="783815045">
      <w:bodyDiv w:val="1"/>
      <w:marLeft w:val="0"/>
      <w:marRight w:val="0"/>
      <w:marTop w:val="0"/>
      <w:marBottom w:val="0"/>
      <w:divBdr>
        <w:top w:val="none" w:sz="0" w:space="0" w:color="auto"/>
        <w:left w:val="none" w:sz="0" w:space="0" w:color="auto"/>
        <w:bottom w:val="none" w:sz="0" w:space="0" w:color="auto"/>
        <w:right w:val="none" w:sz="0" w:space="0" w:color="auto"/>
      </w:divBdr>
    </w:div>
    <w:div w:id="880165625">
      <w:bodyDiv w:val="1"/>
      <w:marLeft w:val="0"/>
      <w:marRight w:val="0"/>
      <w:marTop w:val="0"/>
      <w:marBottom w:val="0"/>
      <w:divBdr>
        <w:top w:val="none" w:sz="0" w:space="0" w:color="auto"/>
        <w:left w:val="none" w:sz="0" w:space="0" w:color="auto"/>
        <w:bottom w:val="none" w:sz="0" w:space="0" w:color="auto"/>
        <w:right w:val="none" w:sz="0" w:space="0" w:color="auto"/>
      </w:divBdr>
    </w:div>
    <w:div w:id="944771394">
      <w:bodyDiv w:val="1"/>
      <w:marLeft w:val="0"/>
      <w:marRight w:val="0"/>
      <w:marTop w:val="0"/>
      <w:marBottom w:val="0"/>
      <w:divBdr>
        <w:top w:val="none" w:sz="0" w:space="0" w:color="auto"/>
        <w:left w:val="none" w:sz="0" w:space="0" w:color="auto"/>
        <w:bottom w:val="none" w:sz="0" w:space="0" w:color="auto"/>
        <w:right w:val="none" w:sz="0" w:space="0" w:color="auto"/>
      </w:divBdr>
    </w:div>
    <w:div w:id="964769466">
      <w:bodyDiv w:val="1"/>
      <w:marLeft w:val="0"/>
      <w:marRight w:val="0"/>
      <w:marTop w:val="0"/>
      <w:marBottom w:val="0"/>
      <w:divBdr>
        <w:top w:val="none" w:sz="0" w:space="0" w:color="auto"/>
        <w:left w:val="none" w:sz="0" w:space="0" w:color="auto"/>
        <w:bottom w:val="none" w:sz="0" w:space="0" w:color="auto"/>
        <w:right w:val="none" w:sz="0" w:space="0" w:color="auto"/>
      </w:divBdr>
    </w:div>
    <w:div w:id="998342235">
      <w:bodyDiv w:val="1"/>
      <w:marLeft w:val="0"/>
      <w:marRight w:val="0"/>
      <w:marTop w:val="0"/>
      <w:marBottom w:val="0"/>
      <w:divBdr>
        <w:top w:val="none" w:sz="0" w:space="0" w:color="auto"/>
        <w:left w:val="none" w:sz="0" w:space="0" w:color="auto"/>
        <w:bottom w:val="none" w:sz="0" w:space="0" w:color="auto"/>
        <w:right w:val="none" w:sz="0" w:space="0" w:color="auto"/>
      </w:divBdr>
    </w:div>
    <w:div w:id="1020013816">
      <w:bodyDiv w:val="1"/>
      <w:marLeft w:val="0"/>
      <w:marRight w:val="0"/>
      <w:marTop w:val="0"/>
      <w:marBottom w:val="0"/>
      <w:divBdr>
        <w:top w:val="none" w:sz="0" w:space="0" w:color="auto"/>
        <w:left w:val="none" w:sz="0" w:space="0" w:color="auto"/>
        <w:bottom w:val="none" w:sz="0" w:space="0" w:color="auto"/>
        <w:right w:val="none" w:sz="0" w:space="0" w:color="auto"/>
      </w:divBdr>
    </w:div>
    <w:div w:id="1138691027">
      <w:bodyDiv w:val="1"/>
      <w:marLeft w:val="0"/>
      <w:marRight w:val="0"/>
      <w:marTop w:val="0"/>
      <w:marBottom w:val="0"/>
      <w:divBdr>
        <w:top w:val="none" w:sz="0" w:space="0" w:color="auto"/>
        <w:left w:val="none" w:sz="0" w:space="0" w:color="auto"/>
        <w:bottom w:val="none" w:sz="0" w:space="0" w:color="auto"/>
        <w:right w:val="none" w:sz="0" w:space="0" w:color="auto"/>
      </w:divBdr>
    </w:div>
    <w:div w:id="1232931648">
      <w:bodyDiv w:val="1"/>
      <w:marLeft w:val="0"/>
      <w:marRight w:val="0"/>
      <w:marTop w:val="0"/>
      <w:marBottom w:val="0"/>
      <w:divBdr>
        <w:top w:val="none" w:sz="0" w:space="0" w:color="auto"/>
        <w:left w:val="none" w:sz="0" w:space="0" w:color="auto"/>
        <w:bottom w:val="none" w:sz="0" w:space="0" w:color="auto"/>
        <w:right w:val="none" w:sz="0" w:space="0" w:color="auto"/>
      </w:divBdr>
    </w:div>
    <w:div w:id="1288779539">
      <w:bodyDiv w:val="1"/>
      <w:marLeft w:val="0"/>
      <w:marRight w:val="0"/>
      <w:marTop w:val="0"/>
      <w:marBottom w:val="0"/>
      <w:divBdr>
        <w:top w:val="none" w:sz="0" w:space="0" w:color="auto"/>
        <w:left w:val="none" w:sz="0" w:space="0" w:color="auto"/>
        <w:bottom w:val="none" w:sz="0" w:space="0" w:color="auto"/>
        <w:right w:val="none" w:sz="0" w:space="0" w:color="auto"/>
      </w:divBdr>
    </w:div>
    <w:div w:id="1303463516">
      <w:bodyDiv w:val="1"/>
      <w:marLeft w:val="0"/>
      <w:marRight w:val="0"/>
      <w:marTop w:val="0"/>
      <w:marBottom w:val="0"/>
      <w:divBdr>
        <w:top w:val="none" w:sz="0" w:space="0" w:color="auto"/>
        <w:left w:val="none" w:sz="0" w:space="0" w:color="auto"/>
        <w:bottom w:val="none" w:sz="0" w:space="0" w:color="auto"/>
        <w:right w:val="none" w:sz="0" w:space="0" w:color="auto"/>
      </w:divBdr>
    </w:div>
    <w:div w:id="1445536588">
      <w:bodyDiv w:val="1"/>
      <w:marLeft w:val="0"/>
      <w:marRight w:val="0"/>
      <w:marTop w:val="0"/>
      <w:marBottom w:val="0"/>
      <w:divBdr>
        <w:top w:val="none" w:sz="0" w:space="0" w:color="auto"/>
        <w:left w:val="none" w:sz="0" w:space="0" w:color="auto"/>
        <w:bottom w:val="none" w:sz="0" w:space="0" w:color="auto"/>
        <w:right w:val="none" w:sz="0" w:space="0" w:color="auto"/>
      </w:divBdr>
    </w:div>
    <w:div w:id="1478842978">
      <w:bodyDiv w:val="1"/>
      <w:marLeft w:val="0"/>
      <w:marRight w:val="0"/>
      <w:marTop w:val="0"/>
      <w:marBottom w:val="0"/>
      <w:divBdr>
        <w:top w:val="none" w:sz="0" w:space="0" w:color="auto"/>
        <w:left w:val="none" w:sz="0" w:space="0" w:color="auto"/>
        <w:bottom w:val="none" w:sz="0" w:space="0" w:color="auto"/>
        <w:right w:val="none" w:sz="0" w:space="0" w:color="auto"/>
      </w:divBdr>
    </w:div>
    <w:div w:id="1646859541">
      <w:bodyDiv w:val="1"/>
      <w:marLeft w:val="0"/>
      <w:marRight w:val="0"/>
      <w:marTop w:val="0"/>
      <w:marBottom w:val="0"/>
      <w:divBdr>
        <w:top w:val="none" w:sz="0" w:space="0" w:color="auto"/>
        <w:left w:val="none" w:sz="0" w:space="0" w:color="auto"/>
        <w:bottom w:val="none" w:sz="0" w:space="0" w:color="auto"/>
        <w:right w:val="none" w:sz="0" w:space="0" w:color="auto"/>
      </w:divBdr>
    </w:div>
    <w:div w:id="1677264904">
      <w:bodyDiv w:val="1"/>
      <w:marLeft w:val="0"/>
      <w:marRight w:val="0"/>
      <w:marTop w:val="0"/>
      <w:marBottom w:val="0"/>
      <w:divBdr>
        <w:top w:val="none" w:sz="0" w:space="0" w:color="auto"/>
        <w:left w:val="none" w:sz="0" w:space="0" w:color="auto"/>
        <w:bottom w:val="none" w:sz="0" w:space="0" w:color="auto"/>
        <w:right w:val="none" w:sz="0" w:space="0" w:color="auto"/>
      </w:divBdr>
    </w:div>
    <w:div w:id="1689135754">
      <w:bodyDiv w:val="1"/>
      <w:marLeft w:val="0"/>
      <w:marRight w:val="0"/>
      <w:marTop w:val="0"/>
      <w:marBottom w:val="0"/>
      <w:divBdr>
        <w:top w:val="none" w:sz="0" w:space="0" w:color="auto"/>
        <w:left w:val="none" w:sz="0" w:space="0" w:color="auto"/>
        <w:bottom w:val="none" w:sz="0" w:space="0" w:color="auto"/>
        <w:right w:val="none" w:sz="0" w:space="0" w:color="auto"/>
      </w:divBdr>
    </w:div>
    <w:div w:id="1716584795">
      <w:bodyDiv w:val="1"/>
      <w:marLeft w:val="0"/>
      <w:marRight w:val="0"/>
      <w:marTop w:val="0"/>
      <w:marBottom w:val="0"/>
      <w:divBdr>
        <w:top w:val="none" w:sz="0" w:space="0" w:color="auto"/>
        <w:left w:val="none" w:sz="0" w:space="0" w:color="auto"/>
        <w:bottom w:val="none" w:sz="0" w:space="0" w:color="auto"/>
        <w:right w:val="none" w:sz="0" w:space="0" w:color="auto"/>
      </w:divBdr>
    </w:div>
    <w:div w:id="1764763165">
      <w:bodyDiv w:val="1"/>
      <w:marLeft w:val="0"/>
      <w:marRight w:val="0"/>
      <w:marTop w:val="0"/>
      <w:marBottom w:val="0"/>
      <w:divBdr>
        <w:top w:val="none" w:sz="0" w:space="0" w:color="auto"/>
        <w:left w:val="none" w:sz="0" w:space="0" w:color="auto"/>
        <w:bottom w:val="none" w:sz="0" w:space="0" w:color="auto"/>
        <w:right w:val="none" w:sz="0" w:space="0" w:color="auto"/>
      </w:divBdr>
    </w:div>
    <w:div w:id="1785077625">
      <w:bodyDiv w:val="1"/>
      <w:marLeft w:val="0"/>
      <w:marRight w:val="0"/>
      <w:marTop w:val="0"/>
      <w:marBottom w:val="0"/>
      <w:divBdr>
        <w:top w:val="none" w:sz="0" w:space="0" w:color="auto"/>
        <w:left w:val="none" w:sz="0" w:space="0" w:color="auto"/>
        <w:bottom w:val="none" w:sz="0" w:space="0" w:color="auto"/>
        <w:right w:val="none" w:sz="0" w:space="0" w:color="auto"/>
      </w:divBdr>
    </w:div>
    <w:div w:id="1806701599">
      <w:bodyDiv w:val="1"/>
      <w:marLeft w:val="0"/>
      <w:marRight w:val="0"/>
      <w:marTop w:val="0"/>
      <w:marBottom w:val="0"/>
      <w:divBdr>
        <w:top w:val="none" w:sz="0" w:space="0" w:color="auto"/>
        <w:left w:val="none" w:sz="0" w:space="0" w:color="auto"/>
        <w:bottom w:val="none" w:sz="0" w:space="0" w:color="auto"/>
        <w:right w:val="none" w:sz="0" w:space="0" w:color="auto"/>
      </w:divBdr>
    </w:div>
    <w:div w:id="1814176354">
      <w:bodyDiv w:val="1"/>
      <w:marLeft w:val="0"/>
      <w:marRight w:val="0"/>
      <w:marTop w:val="0"/>
      <w:marBottom w:val="0"/>
      <w:divBdr>
        <w:top w:val="none" w:sz="0" w:space="0" w:color="auto"/>
        <w:left w:val="none" w:sz="0" w:space="0" w:color="auto"/>
        <w:bottom w:val="none" w:sz="0" w:space="0" w:color="auto"/>
        <w:right w:val="none" w:sz="0" w:space="0" w:color="auto"/>
      </w:divBdr>
    </w:div>
    <w:div w:id="1968310792">
      <w:bodyDiv w:val="1"/>
      <w:marLeft w:val="0"/>
      <w:marRight w:val="0"/>
      <w:marTop w:val="0"/>
      <w:marBottom w:val="0"/>
      <w:divBdr>
        <w:top w:val="none" w:sz="0" w:space="0" w:color="auto"/>
        <w:left w:val="none" w:sz="0" w:space="0" w:color="auto"/>
        <w:bottom w:val="none" w:sz="0" w:space="0" w:color="auto"/>
        <w:right w:val="none" w:sz="0" w:space="0" w:color="auto"/>
      </w:divBdr>
    </w:div>
    <w:div w:id="2118134975">
      <w:bodyDiv w:val="1"/>
      <w:marLeft w:val="0"/>
      <w:marRight w:val="0"/>
      <w:marTop w:val="0"/>
      <w:marBottom w:val="0"/>
      <w:divBdr>
        <w:top w:val="none" w:sz="0" w:space="0" w:color="auto"/>
        <w:left w:val="none" w:sz="0" w:space="0" w:color="auto"/>
        <w:bottom w:val="none" w:sz="0" w:space="0" w:color="auto"/>
        <w:right w:val="none" w:sz="0" w:space="0" w:color="auto"/>
      </w:divBdr>
    </w:div>
    <w:div w:id="21248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NL/TXT/HTML/?uri=CELEX:32022R255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ba.europa.eu/documents/10180/2761380/d10cc21f-82cc-48fe-ab8a-7c05e9e88ccd/EBA%20revised%20Guidelines%20on%20outsourcing_N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NL/TXT/HTML/?uri=CELEX:32013L00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Finnick">
  <a:themeElements>
    <a:clrScheme name="Finnick Kleurenpallet">
      <a:dk1>
        <a:srgbClr val="020909"/>
      </a:dk1>
      <a:lt1>
        <a:srgbClr val="FFFFFF"/>
      </a:lt1>
      <a:dk2>
        <a:srgbClr val="44546A"/>
      </a:dk2>
      <a:lt2>
        <a:srgbClr val="E7E6E6"/>
      </a:lt2>
      <a:accent1>
        <a:srgbClr val="6F2F7B"/>
      </a:accent1>
      <a:accent2>
        <a:srgbClr val="E45E78"/>
      </a:accent2>
      <a:accent3>
        <a:srgbClr val="FFCF53"/>
      </a:accent3>
      <a:accent4>
        <a:srgbClr val="00ADBA"/>
      </a:accent4>
      <a:accent5>
        <a:srgbClr val="00A070"/>
      </a:accent5>
      <a:accent6>
        <a:srgbClr val="FFFFFF"/>
      </a:accent6>
      <a:hlink>
        <a:srgbClr val="6E2F7B"/>
      </a:hlink>
      <a:folHlink>
        <a:srgbClr val="00A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nick" id="{FFF313F1-AA96-7249-A12C-A23C95DBEA31}" vid="{56F0CF84-CEB9-9042-AED3-03C4BFB6A1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lientCode xmlns="a7b3eddd-acf4-440d-9085-35e192ef54ca">1002</ClientCode>
    <ClientName xmlns="a7b3eddd-acf4-440d-9085-35e192ef54ca">Finnick Legal</ClientName>
    <MatterCode xmlns="a7b3eddd-acf4-440d-9085-35e192ef54ca">2022-000186</MatterCode>
    <MatterName xmlns="a7b3eddd-acf4-440d-9085-35e192ef54ca">Marketing</MatterName>
    <ExtranetURL xmlns="a7b3eddd-acf4-440d-9085-35e192ef54ca" xmlns:ns1="http://www.w3.org/2001/XMLSchema-instance" ns1:nil="true"/>
    <bc244158b8df4ae18d1c39cfd44a2881 xmlns="a7b3eddd-acf4-440d-9085-35e192ef54ca">
      <Terms xmlns="http://schemas.microsoft.com/office/infopath/2007/PartnerControls">
        <TermInfo>
          <TermName>Private</TermName>
          <TermId>2a84c3ed-6f46-4340-9cb1-c2d209da8e0a</TermId>
        </TermInfo>
      </Terms>
    </bc244158b8df4ae18d1c39cfd44a2881>
    <TaxCatchAll xmlns="a7b3eddd-acf4-440d-9085-35e192ef54ca"/>
    <_dlc_DocId xmlns="a7b3eddd-acf4-440d-9085-35e192ef54ca">DMS2022-000186-2140309757-497</_dlc_DocId>
    <_dlc_DocIdUrl xmlns="a7b3eddd-acf4-440d-9085-35e192ef54ca">
      <Url>https://mrfintech.sharepoint.com/sites/DMS2022-000186/_layouts/15/DocIdRedir.aspx?ID=DMS2022-000186-2140309757-497</Url>
      <Description>DMS2022-000186-2140309757-497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EBECF21652D3554896B25DCA7CAB5D70005FA1A5C94F08674E9A6E2F76A73D4608" ma:contentTypeVersion="18" ma:contentTypeDescription="Een nieuw document maken." ma:contentTypeScope="" ma:versionID="e0b4037a87aa6b152aa7d3256a167b96">
  <xsd:schema xmlns:xsd="http://www.w3.org/2001/XMLSchema" xmlns:xs="http://www.w3.org/2001/XMLSchema" xmlns:p="http://schemas.microsoft.com/office/2006/metadata/properties" xmlns:ns1="a7b3eddd-acf4-440d-9085-35e192ef54ca" xmlns:ns3="bbe170a0-03e9-428e-bd02-f0d1ec22e259" targetNamespace="http://schemas.microsoft.com/office/2006/metadata/properties" ma:root="true" ma:fieldsID="4055c529022d44e368329c6c62081ba8" ns1:_="" ns3:_="">
    <xsd:import namespace="a7b3eddd-acf4-440d-9085-35e192ef54ca"/>
    <xsd:import namespace="bbe170a0-03e9-428e-bd02-f0d1ec22e259"/>
    <xsd:element name="properties">
      <xsd:complexType>
        <xsd:sequence>
          <xsd:element name="documentManagement">
            <xsd:complexType>
              <xsd:all>
                <xsd:element ref="ns1:ClientCode" minOccurs="0"/>
                <xsd:element ref="ns1:ClientName" minOccurs="0"/>
                <xsd:element ref="ns1:MatterCode" minOccurs="0"/>
                <xsd:element ref="ns1:MatterName" minOccurs="0"/>
                <xsd:element ref="ns1:ExtranetURL" minOccurs="0"/>
                <xsd:element ref="ns1:_dlc_DocId" minOccurs="0"/>
                <xsd:element ref="ns1:_dlc_DocIdUrl" minOccurs="0"/>
                <xsd:element ref="ns1:_dlc_DocIdPersistId" minOccurs="0"/>
                <xsd:element ref="ns1:bc244158b8df4ae18d1c39cfd44a2881" minOccurs="0"/>
                <xsd:element ref="ns3:MediaServiceMetadata" minOccurs="0"/>
                <xsd:element ref="ns3:MediaServiceFastMetadata" minOccurs="0"/>
                <xsd:element ref="ns3:lcf76f155ced4ddcb4097134ff3c332f" minOccurs="0"/>
                <xsd:element ref="ns1: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3eddd-acf4-440d-9085-35e192ef54ca" elementFormDefault="qualified">
    <xsd:import namespace="http://schemas.microsoft.com/office/2006/documentManagement/types"/>
    <xsd:import namespace="http://schemas.microsoft.com/office/infopath/2007/PartnerControls"/>
    <xsd:element name="ClientCode" ma:index="0" nillable="true" ma:displayName="ClientCode" ma:default="1002" ma:internalName="ClientCode">
      <xsd:simpleType>
        <xsd:restriction base="dms:Text"/>
      </xsd:simpleType>
    </xsd:element>
    <xsd:element name="ClientName" ma:index="2" nillable="true" ma:displayName="ClientName" ma:default="Finnick Legal" ma:internalName="ClientName">
      <xsd:simpleType>
        <xsd:restriction base="dms:Text"/>
      </xsd:simpleType>
    </xsd:element>
    <xsd:element name="MatterCode" ma:index="3" nillable="true" ma:displayName="MatterCode" ma:default="2022-000186" ma:internalName="MatterCode">
      <xsd:simpleType>
        <xsd:restriction base="dms:Text"/>
      </xsd:simpleType>
    </xsd:element>
    <xsd:element name="MatterName" ma:index="4" nillable="true" ma:displayName="MatterName" ma:default="Marketing" ma:internalName="MatterName">
      <xsd:simpleType>
        <xsd:restriction base="dms:Text"/>
      </xsd:simpleType>
    </xsd:element>
    <xsd:element name="ExtranetURL" ma:index="5" nillable="true" ma:displayName="ExtranetURL" ma:internalName="ExtranetURL">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bc244158b8df4ae18d1c39cfd44a2881" ma:index="16" nillable="true" ma:taxonomy="true" ma:internalName="bc244158b8df4ae18d1c39cfd44a2881" ma:taxonomyFieldName="MatterType" ma:displayName="MatterType" ma:default="-1;#Private|2a84c3ed-6f46-4340-9cb1-c2d209da8e0a" ma:fieldId="{bc244158-b8df-4ae1-8d1c-39cfd44a2881}" ma:sspId="a8fd7dc2-d039-450a-ac9e-77bf5e5070b3" ma:termSetId="46ca2fdc-8885-44ac-bea3-4e54bec8458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ff24fd3-00b6-4048-868a-8c916b13d22b}" ma:internalName="TaxCatchAll" ma:showField="CatchAllData" ma:web="a7b3eddd-acf4-440d-9085-35e192ef54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e170a0-03e9-428e-bd02-f0d1ec22e25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8fd7dc2-d039-450a-ac9e-77bf5e5070b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46F8-8317-40C8-A044-BE0AAE2955CD}">
  <ds:schemaRefs>
    <ds:schemaRef ds:uri="http://schemas.microsoft.com/sharepoint/v3/contenttype/forms"/>
  </ds:schemaRefs>
</ds:datastoreItem>
</file>

<file path=customXml/itemProps2.xml><?xml version="1.0" encoding="utf-8"?>
<ds:datastoreItem xmlns:ds="http://schemas.openxmlformats.org/officeDocument/2006/customXml" ds:itemID="{3DDE1E08-3487-48A6-8B70-6BBA70F859AA}">
  <ds:schemaRefs>
    <ds:schemaRef ds:uri="http://schemas.microsoft.com/sharepoint/events"/>
  </ds:schemaRefs>
</ds:datastoreItem>
</file>

<file path=customXml/itemProps3.xml><?xml version="1.0" encoding="utf-8"?>
<ds:datastoreItem xmlns:ds="http://schemas.openxmlformats.org/officeDocument/2006/customXml" ds:itemID="{0C315A26-EA2B-492B-8F53-AD1FED7232CB}">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a7b3eddd-acf4-440d-9085-35e192ef54ca"/>
    <ds:schemaRef ds:uri="http://schemas.microsoft.com/office/infopath/2007/PartnerControls"/>
    <ds:schemaRef ds:uri="bbe170a0-03e9-428e-bd02-f0d1ec22e259"/>
    <ds:schemaRef ds:uri="http://schemas.microsoft.com/office/2006/metadata/properties"/>
  </ds:schemaRefs>
</ds:datastoreItem>
</file>

<file path=customXml/itemProps4.xml><?xml version="1.0" encoding="utf-8"?>
<ds:datastoreItem xmlns:ds="http://schemas.openxmlformats.org/officeDocument/2006/customXml" ds:itemID="{84A8AC57-312F-49B9-BDB3-8AE961FC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3eddd-acf4-440d-9085-35e192ef54ca"/>
    <ds:schemaRef ds:uri="bbe170a0-03e9-428e-bd02-f0d1ec22e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57147A-7BB6-43C7-BE5C-2CA826E7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2771</Words>
  <Characters>17712</Characters>
  <Application>Microsoft Office Word</Application>
  <DocSecurity>0</DocSecurity>
  <Lines>681</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raoul boot</dc:creator>
  <cp:keywords/>
  <dc:description/>
  <cp:lastModifiedBy>Arie van den Bergen</cp:lastModifiedBy>
  <cp:revision>2</cp:revision>
  <cp:lastPrinted>2021-05-25T08:52:00Z</cp:lastPrinted>
  <dcterms:created xsi:type="dcterms:W3CDTF">2024-06-16T12:44:00Z</dcterms:created>
  <dcterms:modified xsi:type="dcterms:W3CDTF">2024-06-16T12:44:00Z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0x010100EBECF21652D3554896B25DCA7CAB5D70005FA1A5C94F08674E9A6E2F76A73D4608</vt:lpwstr>
  </property>
  <property fmtid="{D5CDD505-2E9C-101B-9397-08002B2CF9AE}" pid="3" name="ContentType">
    <vt:lpwstr>DMS Document</vt:lpwstr>
  </property>
  <property fmtid="{D5CDD505-2E9C-101B-9397-08002B2CF9AE}" pid="4" name="ClientCode">
    <vt:lpwstr>1002</vt:lpwstr>
  </property>
  <property fmtid="{D5CDD505-2E9C-101B-9397-08002B2CF9AE}" pid="5" name="ClientName">
    <vt:lpwstr>Finnick Legal</vt:lpwstr>
  </property>
  <property fmtid="{D5CDD505-2E9C-101B-9397-08002B2CF9AE}" pid="6" name="MatterCode">
    <vt:lpwstr>2022-000186</vt:lpwstr>
  </property>
  <property fmtid="{D5CDD505-2E9C-101B-9397-08002B2CF9AE}" pid="7" name="MatterName">
    <vt:lpwstr>Marketing</vt:lpwstr>
  </property>
  <property fmtid="{D5CDD505-2E9C-101B-9397-08002B2CF9AE}" pid="8" name="b08d54a3d2e447bba37ae9149bc60be0">
    <vt:lpwstr>Niet-advocatuur|84faf958-e66f-4e68-8b2d-5d288747874a</vt:lpwstr>
  </property>
  <property fmtid="{D5CDD505-2E9C-101B-9397-08002B2CF9AE}" pid="9" name="MatterType">
    <vt:lpwstr>-1;#Private|2a84c3ed-6f46-4340-9cb1-c2d209da8e0a</vt:lpwstr>
  </property>
  <property fmtid="{D5CDD505-2E9C-101B-9397-08002B2CF9AE}" pid="10" name="Created">
    <vt:lpwstr>2024-06-16T10:43:00+00:00</vt:lpwstr>
  </property>
  <property fmtid="{D5CDD505-2E9C-101B-9397-08002B2CF9AE}" pid="11" name="Modified">
    <vt:lpwstr>2024-06-16T12:33:00+00:00</vt:lpwstr>
  </property>
  <property fmtid="{D5CDD505-2E9C-101B-9397-08002B2CF9AE}" pid="12" name="_dlc_DocIdItemGuid">
    <vt:lpwstr>821064d3-134a-4a7a-8c18-2bd90576ac9a</vt:lpwstr>
  </property>
  <property fmtid="{D5CDD505-2E9C-101B-9397-08002B2CF9AE}" pid="13" name="cb11303a66c04dd3a5a03b038e67cd3b">
    <vt:lpwstr>Private|2a84c3ed-6f46-4340-9cb1-c2d209da8e0a</vt:lpwstr>
  </property>
  <property fmtid="{D5CDD505-2E9C-101B-9397-08002B2CF9AE}" pid="14" name="bc244158b8df4ae18d1c39cfd44a2881">
    <vt:lpwstr>Private|2a84c3ed-6f46-4340-9cb1-c2d209da8e0a</vt:lpwstr>
  </property>
  <property fmtid="{D5CDD505-2E9C-101B-9397-08002B2CF9AE}" pid="15" name="MediaServiceImageTags">
    <vt:lpwstr/>
  </property>
</Properties>
</file>